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ITBFPrV — Zulassungsvoraussetzungen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