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IT-FortbV — Zulassungsvoraussetzungen (Strategische Professionals)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Zur Prüfung der strategischen Professionals ist zuzulassen, wer</w:t>
      </w:r>
    </w:p>
    <w:p>
      <w:pPr>
        <w:ind w:left="420"/>
      </w:pPr>
      <w:r>
        <w:t xml:space="preserve">1. eine mit Erfolg abgelegte Fortbildungsprüfung in einer der in § 1 Abs. 4 genannten Abschlüsse oder</w:t>
      </w:r>
    </w:p>
    <w:p>
      <w:pPr>
        <w:ind w:left="420"/>
      </w:pPr>
      <w:r>
        <w:t xml:space="preserve">2. eine mit Erfolg abgelegte Hochschulprüfung in einem Studiengang, der dem Bereich der Informations- und Telekommunikationstechnik zugeordnet werden kann, sowie Qualifikationen im Bereich Mitarbeiterführung und Personalmanagement entsprechend § 7 dieser Verordnung</w:t>
      </w:r>
    </w:p>
    <w:p>
      <w:r>
        <w:t xml:space="preserve">sowie danach eine mindestens zweijährige Berufspraxis und englische Sprachkenntnisse nachweist.</w:t>
      </w:r>
    </w:p>
    <w:p>
      <w:r>
        <w:t xml:space="preserve">(2) Die Berufspraxis gemäß Absatz 1 muss inhaltlich wesentliche Bezüge zu den in § 27 oder § 29 genannten Aufgaben haben.</w:t>
      </w:r>
    </w:p>
    <w:p>
      <w:r>
        <w:t xml:space="preserve">(3) Die antragstellende Person muss belegen, dass sie</w:t>
      </w:r>
    </w:p>
    <w:p>
      <w:pPr>
        <w:ind w:left="420"/>
      </w:pPr>
      <w:r>
        <w:t xml:space="preserve">1. berufsrelevante Gesprächssituationen sicher in der Fremdsprache Englisch bewältigen und dabei auch die Gesprächsinitiative ergreifen kann und dabei befähigt ist, landestypische Unterschiede in der jeweiligen Berufs- und Arbeitswelt angemessen zu berücksichtigen,</w:t>
      </w:r>
    </w:p>
    <w:p>
      <w:pPr>
        <w:ind w:left="420"/>
      </w:pPr>
      <w:r>
        <w:t xml:space="preserve">2. auf schriftliche Mitteilungen komplexer Art situationsadäquat in englischer Sprache reagieren kann und über ein angemessenes Ausdrucksvermögen verfügt.</w:t>
      </w:r>
    </w:p>
    <w:p>
      <w:r>
        <w:t xml:space="preserve">Der Nachweis über englische Sprachkenntnisse erfolgt durch das Zeugnis einer Bildungseinrichtung, durch das Zeugnis über einen Sprachtest oder den Beleg eines berufsrelevanten Auslandsaufenthalts.</w:t>
      </w:r>
    </w:p>
    <w:p>
      <w:r>
        <w:t xml:space="preserve">(4) Abweichend von Absatz 1 kann zur Prüfung auch zugelassen werden, wer durch Vorlage von Zeugnissen oder auf andere Weise glaubhaft macht, dass sie Qualifikationen erworben hat, die die Zulassung zur Prüfung rechtfertigen.</w:t>
      </w:r>
    </w:p>
    <w:p>
      <w:r>
        <w:rPr>
          <w:color w:val="555555"/>
          <w:sz w:val="17"/>
        </w:rPr>
        <w:t xml:space="preserve">Zitiervorschlag: § 24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