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IT-FortbV — Ausbildereignung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Wer die Prüfung nach dieser Verordnung zu einem Abschluss der operativen Professionals bestanden hat, ist vom schriftlichen Teil der Prüfung der nach dem Berufsbildungsgesetz erlassenen Ausbilder-Eignungsverordnung befreit.</w:t>
      </w:r>
    </w:p>
    <w:p>
      <w:r>
        <w:t xml:space="preserve">(2) Wer dabei im Prüfungsteil "Mitarbeiterführung und Personalmanagement" für die praktische Demonstration den Anwendungsfall "Vorbereiten und Durchführen einer Ausbildungseinheit" oder "Vorbereiten und Durchführen einer Mitarbeiterqualifizierung" ausgewählt hat, hat die berufs- und arbeitspädagogische Qualifikation nach dem Berufsbildungsgesetz nachgewiesen. Hierüber ist der zu prüfenden Person ein Zeugnis nach § 5 der Ausbilder-Eignungsverordnung auszustellen.</w:t>
      </w:r>
    </w:p>
    <w:p>
      <w:r>
        <w:rPr>
          <w:color w:val="555555"/>
          <w:sz w:val="17"/>
        </w:rPr>
        <w:t xml:space="preserve">Zitiervorschlag: § 23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