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IT-FortbV — Struktur der IT-Fortbildung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(1) Die IT-Fortbildung gliedert sich in folgende aufeinander aufbauende Ebenen:</w:t>
      </w:r>
    </w:p>
    <w:p>
      <w:pPr>
        <w:ind w:left="420"/>
      </w:pPr>
      <w:r>
        <w:t xml:space="preserve">1. Berufliche Qualifizierung zu den zertifizierten IT-Spezialisten (§ 2 Abs. 2),</w:t>
      </w:r>
    </w:p>
    <w:p>
      <w:pPr>
        <w:ind w:left="420"/>
      </w:pPr>
      <w:r>
        <w:t xml:space="preserve">2. Aufstiegsfortbildung zu den operativen Professionals sowie</w:t>
      </w:r>
    </w:p>
    <w:p>
      <w:pPr>
        <w:ind w:left="420"/>
      </w:pPr>
      <w:r>
        <w:t xml:space="preserve">3. Aufstiegsfortbildung zu den strategischen Professionals.</w:t>
      </w:r>
    </w:p>
    <w:p>
      <w:r>
        <w:t xml:space="preserve">(2) Operative Professionals sind befähigt, Geschäftsprozesse in den Bereichen Entwicklung, Organisation, Beratung oder Vertrieb und Marketing zu gestalten sowie Aufgaben der Mitarbeiterführung wahrzunehmen.</w:t>
      </w:r>
    </w:p>
    <w:p>
      <w:r>
        <w:t xml:space="preserve">(3) Strategische Professionals sind befähigt, die IT-Geschäftsfelder eines Unternehmens dauerhaft am Markt strategisch zu positionieren und entsprechend fortzuentwickeln sowie strategische Allianzen und Partnerschaften zu schließen.</w:t>
      </w:r>
    </w:p>
    <w:p>
      <w:r>
        <w:t xml:space="preserve">(4) Zum Nachweis von Kenntnissen, Fertigkeiten und Erfahrungen eines operativen Professionals, die durch die berufliche Fortbildung</w:t>
      </w:r>
    </w:p>
    <w:p>
      <w:pPr>
        <w:ind w:left="420"/>
      </w:pPr>
      <w:r>
        <w:t xml:space="preserve">1. zum Geprüften IT-Entwickler/zur Geprüften IT-Entwicklerin (Certified IT Systems Manager),</w:t>
      </w:r>
    </w:p>
    <w:p>
      <w:pPr>
        <w:ind w:left="420"/>
      </w:pPr>
      <w:r>
        <w:t xml:space="preserve">2. zum Geprüften IT-Projektleiter/zur Geprüften IT-Projektleiterin (Certified IT Business Manager),</w:t>
      </w:r>
    </w:p>
    <w:p>
      <w:pPr>
        <w:ind w:left="420"/>
      </w:pPr>
      <w:r>
        <w:t xml:space="preserve">3. zum Geprüften IT-Berater/zur Geprüften IT-Beraterin (Certified IT Business Consultant) und</w:t>
      </w:r>
    </w:p>
    <w:p>
      <w:pPr>
        <w:ind w:left="420"/>
      </w:pPr>
      <w:r>
        <w:t xml:space="preserve">4. zum Geprüften IT-Ökonom/zur Geprüften IT-Ökonomin (Certified IT Marketing Manager)</w:t>
      </w:r>
    </w:p>
    <w:p>
      <w:r>
        <w:t xml:space="preserve">erworben worden sind, kann die zuständige Stelle Prüfungen nach den Teilen 2 und 4 dieser Verordnung durchführen.</w:t>
      </w:r>
    </w:p>
    <w:p>
      <w:r>
        <w:t xml:space="preserve">(5) Zum Nachweis von Kenntnissen, Fertigkeiten und Erfahrungen eines strategischen Professionals, die durch die berufliche Fortbildung</w:t>
      </w:r>
    </w:p>
    <w:p>
      <w:pPr>
        <w:ind w:left="420"/>
      </w:pPr>
      <w:r>
        <w:t xml:space="preserve">1. zum Geprüften Informatiker/zur Geprüften Informatikerin (Certified IT Technical Engineer) und</w:t>
      </w:r>
    </w:p>
    <w:p>
      <w:pPr>
        <w:ind w:left="420"/>
      </w:pPr>
      <w:r>
        <w:t xml:space="preserve">2. zum Geprüften Wirtschaftsinformatiker/zur Geprüften Wirtschaftsinformatikerin (Certified IT Business Engineer)</w:t>
      </w:r>
    </w:p>
    <w:p>
      <w:r>
        <w:t xml:space="preserve">erworben worden sind, kann die zuständige Stelle Prüfungen nach den Teilen 3 und 4 dieser Verordnung durchführen.</w:t>
      </w:r>
    </w:p>
    <w:p>
      <w:r>
        <w:rPr>
          <w:color w:val="555555"/>
          <w:sz w:val="17"/>
        </w:rPr>
        <w:t xml:space="preserve">Zitiervorschlag: § 1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