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IStGHG — Fahndungsmaßnahmen (Zu Artikel 59 Abs. 1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Eingang eines Ersuchens des Gerichtshofes um Festnahme und Überstellung nach Artikel 89 Abs. 1 des Römischen Statuts oder vorläufige Festnahme nach Artikel 92 Abs. 1 des Römischen Statuts werden die erforderlichen Maßnahmen zur Feststellung des Aufenthaltes und zur Festnahme des Verfolgten ergriffen. Die Vorschriften des Abschnitts 9a des Ersten Buches der Strafprozessordnung sind entsprechend anwendbar.</w:t>
      </w:r>
    </w:p>
    <w:p>
      <w:r>
        <w:t xml:space="preserve">(2) Zur Anordnung einzelner Fahndungsmaßnahmen bedarf es keines gesonderten Ersuchens des Gerichtshofes. Zuständig für die Ausschreibung zur Festnahme ist die Staatsanwaltschaft bei dem Oberlandesgericht.</w:t>
      </w:r>
    </w:p>
    <w:p>
      <w:r>
        <w:rPr>
          <w:color w:val="555555"/>
          <w:sz w:val="17"/>
        </w:rPr>
        <w:t xml:space="preserve">Zitiervorschlag: § 9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