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IStGHG — Telekommunikationsüberwachung und sonstige Maßnahmen ohne Wissen des Betroffenen (Zu Artikel 93 Abs. 1 Buchstabe l des Römischen Statuts)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Die Anordnung der Überwachung der Telekommunikation (§ 100a der Strafprozessordnung) und die Übermittlung der durch die Überwachung erlangten Erkenntnisse sind nur zulässig, wenn</w:t>
      </w:r>
    </w:p>
    <w:p>
      <w:pPr>
        <w:ind w:left="420"/>
      </w:pPr>
      <w:r>
        <w:t xml:space="preserve">1. die Entscheidung eines Richters des Gerichtshofes vorgelegt wird, die die Telekommunikationsüberwachung anordnet,</w:t>
      </w:r>
    </w:p>
    <w:p>
      <w:pPr>
        <w:ind w:left="420"/>
      </w:pPr>
      <w:r>
        <w:t xml:space="preserve">2. die weiteren Voraussetzungen der Strafprozessordnung für die Anordnung der Maßnahme mit der Maßgabe vorliegen, dass an die Stelle der in § 100a Abs. 2 der Strafprozessordnung genannten Straftaten die in Artikel 5 des Römischen Statuts genannten Straftaten treten, und</w:t>
      </w:r>
    </w:p>
    <w:p>
      <w:pPr>
        <w:ind w:left="420"/>
      </w:pPr>
      <w:r>
        <w:t xml:space="preserve">3. gewährleistet ist, dass die Vorschriften der Strafprozessordnung über die Benachrichtigung der von der Maßnahme betroffenen Person (§ 101 Abs. 4 bis 6 der Strafprozessordnung), über die Übermittlung der erlangten personenbezogenen Daten zu Beweiszwecken in anderen Strafverfahren vor dem Gerichtshof (§ 479 Absatz 2 Satz 1 der Strafprozessordnung) und über die Löschung (§ 101 Abs. 8 der Strafprozessordnung) beachtet werden.</w:t>
      </w:r>
    </w:p>
    <w:p>
      <w:r>
        <w:t xml:space="preserve">(2) Auf Ersuchen des Gerichtshofes werden die in §§ 100b, 100c und 100f der Strafprozessordnung bezeichneten Maßnahmen ohne Wissen des Betroffenen angeordnet. Absatz 1 gilt entsprechend.</w:t>
      </w:r>
    </w:p>
    <w:p>
      <w:r>
        <w:rPr>
          <w:color w:val="555555"/>
          <w:sz w:val="17"/>
        </w:rPr>
        <w:t xml:space="preserve">Zitiervorschlag: § 59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