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57 IStGHG — Zustellungen (Zu Artikel 58 Abs. 7 Satz 4, Artikel 93 Abs. 1 Buchstabe d des Römischen Statuts)</w:t>
      </w:r>
    </w:p>
    <w:p>
      <w:r>
        <w:rPr>
          <w:color w:val="555555"/>
          <w:sz w:val="18"/>
        </w:rPr>
        <w:t xml:space="preserve">IStGH-Gesetz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Für das Verfahren bei Zustellungen gelten die Vorschriften der Zivilprozessordnung entsprechend.</w:t>
      </w:r>
    </w:p>
    <w:p>
      <w:r>
        <w:t xml:space="preserve">(2) Die Zustellung einer Ladung des Gerichtshofes an den Beschuldigten im Wege der Ersatzzustellung ist ausgeschlossen.</w:t>
      </w:r>
    </w:p>
    <w:p>
      <w:r>
        <w:rPr>
          <w:color w:val="555555"/>
          <w:sz w:val="17"/>
        </w:rPr>
        <w:t xml:space="preserve">Zitiervorschlag: § 57 IStGHG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https://recht.nulegal.eu/gesetze/IStGHG/57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