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IStGHG — Persönliches Erscheinen von Zeugen</w:t>
      </w:r>
    </w:p>
    <w:p>
      <w:r>
        <w:rPr>
          <w:color w:val="555555"/>
          <w:sz w:val="18"/>
        </w:rPr>
        <w:t xml:space="preserve">IStGH-Gesetz</w:t>
      </w:r>
    </w:p>
    <w:p>
      <w:r>
        <w:rPr>
          <w:color w:val="555555"/>
          <w:sz w:val="18"/>
        </w:rPr>
        <w:t xml:space="preserve">Stand: 10.06.2019 (konsolidierte Textfassung, kein amtliches Inkrafttretensdatum)</w:t>
      </w:r>
    </w:p>
    <w:p>
      <w:r>
        <w:t xml:space="preserve">(1) Ersucht der Gerichtshof um persönliches Erscheinen einer Person, die sich im Inland auf freiem Fuß befindet, als Zeuge zur Vernehmung, zur Gegenüberstellung oder zur Einnahme eines Augenscheins, so können die Ordnungsmittel angeordnet werden, die im Falle der Ladung durch ein deutsches Gericht oder eine deutsche Staatsanwaltschaft verhängt werden könnten.</w:t>
      </w:r>
    </w:p>
    <w:p>
      <w:r>
        <w:t xml:space="preserve">(2) Soweit der Gerichtshof einer Person zusichert, ihre Aussage nicht zu verwenden, dürfen die Angaben der Person ohne ihre Zustimmung im Umfang der Zusicherung des Gerichtshofes in einem deutschen Strafverfahren nicht verwertet werden. Aussagen vor dem Gerichtshof dürfen ohne Zustimmung der Person in einem deutschen Strafverfahren auch nicht verwertet werden, wenn die Person verpflichtet war, vor dem Gerichtshof Angaben zu machen, sie nach deutschem Recht aber die Angaben hätte verweigern können.</w:t>
      </w:r>
    </w:p>
    <w:p>
      <w:r>
        <w:rPr>
          <w:color w:val="555555"/>
          <w:sz w:val="17"/>
        </w:rPr>
        <w:t xml:space="preserve">Zitiervorschlag: § 53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