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IStGHG — Vollstreckung von Wiedergutmachungsanordnungen (Zu Artikel 75 Abs. 2, Artikel 109 des Römischen Statuts)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Wiedergutmachungsanordnungen, die auf die Zahlung einer Geldsumme gerichtet sind, werden vollstreckt, wenn</w:t>
      </w:r>
    </w:p>
    <w:p>
      <w:pPr>
        <w:ind w:left="420"/>
      </w:pPr>
      <w:r>
        <w:t xml:space="preserve">1. der Gerichtshof unter Vorlage der vollständigen rechtskräftigen und vollstreckbaren Erkenntnisse zum Schuldspruch und zum Strafspruch sowie der Anordnung nach Artikel 75 des Römischen Statuts darum ersucht hat und</w:t>
      </w:r>
    </w:p>
    <w:p>
      <w:pPr>
        <w:ind w:left="420"/>
      </w:pPr>
      <w:r>
        <w:t xml:space="preserve">2. in dem Ersuchen angegeben wird, bis zu welcher Höhe die Wiedergutmachungsanordnung im Inland zu vollstrecken ist, sofern der Gerichtshof mehrere Staaten um Vollstreckung ersucht.</w:t>
      </w:r>
    </w:p>
    <w:p>
      <w:r>
        <w:t xml:space="preserve">Im Übrigen richtet sich die Vollstreckung nach § 43.</w:t>
      </w:r>
    </w:p>
    <w:p>
      <w:r>
        <w:rPr>
          <w:color w:val="555555"/>
          <w:sz w:val="17"/>
        </w:rPr>
        <w:t xml:space="preserve">Zitiervorschlag: § 45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