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IStGHG — Vollstreckung von Geldstrafen (Zu Artikel 77 Abs. 2 Buchstabe a, Artikel 109 Abs. 1 des Römischen Statuts)</w:t>
      </w:r>
    </w:p>
    <w:p>
      <w:r>
        <w:rPr>
          <w:color w:val="555555"/>
          <w:sz w:val="18"/>
        </w:rPr>
        <w:t xml:space="preserve">IStGH-Gesetz</w:t>
      </w:r>
    </w:p>
    <w:p>
      <w:r>
        <w:rPr>
          <w:color w:val="555555"/>
          <w:sz w:val="18"/>
        </w:rPr>
        <w:t xml:space="preserve">Stand: 10.06.2019 (konsolidierte Textfassung, kein amtliches Inkrafttretensdatum)</w:t>
      </w:r>
    </w:p>
    <w:p>
      <w:r>
        <w:t xml:space="preserve">(1) Geldstrafen werden vollstreckt, wenn</w:t>
      </w:r>
    </w:p>
    <w:p>
      <w:pPr>
        <w:ind w:left="420"/>
      </w:pPr>
      <w:r>
        <w:t xml:space="preserve">1. der Gerichtshof unter Vorlage der vollständigen rechtskräftigen und vollstreckbaren Erkenntnisse zum Schuldspruch und zum Strafspruch darum ersucht hat und</w:t>
      </w:r>
    </w:p>
    <w:p>
      <w:pPr>
        <w:ind w:left="420"/>
      </w:pPr>
      <w:r>
        <w:t xml:space="preserve">2. in dem Ersuchen angegeben wird, bis zu welcher Höhe die Geldstrafe im Inland zu vollstrecken ist, sofern der Gerichtshof mehrere Staaten um Vollstreckung der Geldstrafe ersucht.</w:t>
      </w:r>
    </w:p>
    <w:p>
      <w:r>
        <w:t xml:space="preserve">Soweit die Höhe der zu vollstreckenden Geldstrafe in einer anderen Währung als Euro angegeben ist, ist für die Umrechnung der am Tag des Eingangs des Ersuchens amtlich festgesetzte Umrechnungskurs zu Grunde zu legen.</w:t>
      </w:r>
    </w:p>
    <w:p>
      <w:r>
        <w:t xml:space="preserve">(2) Für die Vollstreckung der Geldstrafe gelten die Vorschriften des Justizbeitreibungsgesetzes soweit dieses Gesetz nichts anderes bestimmt.</w:t>
      </w:r>
    </w:p>
    <w:p>
      <w:r>
        <w:t xml:space="preserve">(3) Die Geldstrafe ist mit Eingang des Ersuchens fällig. Über die Auslegung des Schuld- oder des Strafspruchs, die Berechnung der erkannten Strafe, Einwendungen gegen die Zulässigkeit der Strafvollstreckung oder wenn nach deutschem Recht die Voraussetzungen des § 459a der Strafprozessordnung vorlägen, ist die Entscheidung des Gerichtshofes herbeizuführen. Der Fortgang der Vollstreckung wird hierdurch nicht gehemmt; die nach § 46 Abs. 2 zuständige Stelle kann die Vollstreckung jedoch aufschieben oder unterbrechen. Die weitere Vollstreckung zu einem späteren Zeitpunkt ist durch geeignete Maßnahmen sicherzustellen; zu diesem Zweck sind die Durchsuchung des Verurteilten, dessen Wohnung und Gegenstände sowie die Beschlagnahme von Gegenständen zulässig.</w:t>
      </w:r>
    </w:p>
    <w:p>
      <w:r>
        <w:t xml:space="preserve">(4) Die §§ 459b und 459c Abs. 2 und 3 der Strafprozessordnung sind entsprechend anwendbar. Das Ergebnis der Vollstreckung wird dem Gerichtshof mitgeteilt und die beigetriebene Geldstrafe an ihn überwiesen.</w:t>
      </w:r>
    </w:p>
    <w:p>
      <w:r>
        <w:t xml:space="preserve">(5) Soweit der Gerichtshof wegen Uneinbringlichkeit der Geldstrafe die gegen den Verurteilten wegen einer Tat nach Artikel 5 des Römischen Statuts verhängte Freiheitsstrafe verlängert oder wegen Uneinbringlichkeit einer wegen einer Tat nach Artikel 70 Abs. 1 des Römischen Statuts verhängten Geldstrafe eine Freiheitsstrafe festsetzt, finden auf die Vollstreckung der Freiheitsstrafe die §§ 41 und 42 Anwendung.</w:t>
      </w:r>
    </w:p>
    <w:p>
      <w:r>
        <w:rPr>
          <w:color w:val="555555"/>
          <w:sz w:val="17"/>
        </w:rPr>
        <w:t xml:space="preserve">Zitiervorschlag: § 43 IStGHG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https://recht.nulegal.eu/gesetze/IStGHG/43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