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IStGHG — Zuständigkeit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gerichtlichen Entscheidungen erlässt das Oberlandesgericht. § 7 Abs. 1 Satz 2 und Abs. 2 gilt entsprechend.</w:t>
      </w:r>
    </w:p>
    <w:p>
      <w:r>
        <w:t xml:space="preserve">(2) Örtlich zuständig ist</w:t>
      </w:r>
    </w:p>
    <w:p>
      <w:pPr>
        <w:ind w:left="420"/>
      </w:pPr>
      <w:r>
        <w:t xml:space="preserve">1. im Falle der Durchbeförderung auf dem Land- oder Seeweg das Oberlandesgericht, in dessen Bezirk der Verfolgte voraussichtlich in den Geltungsbereich dieses Gesetzes überstellt werden wird,</w:t>
      </w:r>
    </w:p>
    <w:p>
      <w:pPr>
        <w:ind w:left="420"/>
      </w:pPr>
      <w:r>
        <w:t xml:space="preserve">2. im Falle der Durchbeförderung auf dem Luftweg das Oberlandesgericht, in dessen Bezirk die erste Zwischenlandung stattfinden soll.</w:t>
      </w:r>
    </w:p>
    <w:p>
      <w:r>
        <w:t xml:space="preserve">(3) Ist eine Zuständigkeit nach Absatz 2 Nr. 2 nicht begründet, so ist das Oberlandesgericht Frankfurt am Main zuständig.</w:t>
      </w:r>
    </w:p>
    <w:p>
      <w:r>
        <w:rPr>
          <w:color w:val="555555"/>
          <w:sz w:val="17"/>
        </w:rPr>
        <w:t xml:space="preserve">Zitiervorschlag: § 36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