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IStGHG — Beschlagnahme und Durchsuchung</w:t>
      </w:r>
    </w:p>
    <w:p>
      <w:r>
        <w:rPr>
          <w:color w:val="555555"/>
          <w:sz w:val="18"/>
        </w:rPr>
        <w:t xml:space="preserve">IStGH-Gesetz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Gegenstände, deren Herausgabe an den Gerichtshof in Betracht kommt, können, auch schon vor Eingang des Überstellungsersuchens, beschlagnahmt oder sonst sichergestellt werden. Zu diesem Zweck kann auch eine Durchsuchung vorgenommen werden.</w:t>
      </w:r>
    </w:p>
    <w:p>
      <w:r>
        <w:t xml:space="preserve">(2) Zuständig für die Anordnung der Maßnahmen nach Absatz 1 ist das für das Überstellungsverfahren zuständige Oberlandesgericht. Es ist auch für die Anordnung von Maßnahmen in Bezug auf Gegenstände zuständig, die sich außerhalb seines Bezirkes befinden. § 7 Abs. 1 Satz 2 und Abs. 2 gilt entsprechend.</w:t>
      </w:r>
    </w:p>
    <w:p>
      <w:r>
        <w:t xml:space="preserve">(3) Bei Gefahr im Verzug sind die Staatsanwaltschaft und ihre Ermittlungspersonen (§ 152 des Gerichtsverfassungsgesetzes) entsprechend den Vorschriften der Strafprozessordnung befugt, die Beschlagnahme und die Durchsuchung anzuordnen.</w:t>
      </w:r>
    </w:p>
    <w:p>
      <w:r>
        <w:rPr>
          <w:color w:val="555555"/>
          <w:sz w:val="17"/>
        </w:rPr>
        <w:t xml:space="preserve">Zitiervorschlag: § 30 IStGHG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https://recht.nulegal.eu/gesetze/IStGHG/30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