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IStGHG — Vernehmung des Verfolgten</w:t>
      </w:r>
    </w:p>
    <w:p>
      <w:r>
        <w:rPr>
          <w:color w:val="555555"/>
          <w:sz w:val="18"/>
        </w:rPr>
        <w:t xml:space="preserve">IStGH-Gesetz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 dem Eingang des Festnahme- und Überstellungsersuchens vernimmt das Oberlandesgericht den Verfolgten, wenn er sich nicht mit einer vereinfachten Überstellung (§ 32) einverstanden erklärt hat.</w:t>
      </w:r>
    </w:p>
    <w:p>
      <w:r>
        <w:t xml:space="preserve">(2) Das Oberlandesgericht vernimmt den Verfolgten über seine persönlichen Verhältnisse, insbesondere über seine Staatsangehörigkeit. § 14 Abs. 2 Satz 2 und 3 gilt entsprechend. Zum Gegenstand der Beschuldigung ist der Verfolgte zu vernehmen, wenn die Staatsanwaltschaft bei dem Oberlandesgericht dies beantragt; in den übrigen Fällen sind die Angaben, die der Verfolgte von sich aus hierzu macht, in das Protokoll aufzunehmen. § 14 Abs. 2 Satz 5 und Abs. 6 gilt entsprechend.</w:t>
      </w:r>
    </w:p>
    <w:p>
      <w:r>
        <w:rPr>
          <w:color w:val="555555"/>
          <w:sz w:val="17"/>
        </w:rPr>
        <w:t xml:space="preserve">Zitiervorschlag: § 19 IStGHG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https://recht.nulegal.eu/gesetze/IStGHG/19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