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IStGHG — Haftprüfung</w:t>
      </w:r>
    </w:p>
    <w:p>
      <w:r>
        <w:rPr>
          <w:color w:val="555555"/>
          <w:sz w:val="18"/>
        </w:rPr>
        <w:t xml:space="preserve">IStGH-Gesetz</w:t>
      </w:r>
    </w:p>
    <w:p>
      <w:r>
        <w:rPr>
          <w:color w:val="555555"/>
          <w:sz w:val="18"/>
        </w:rPr>
        <w:t xml:space="preserve">Stand: 10.06.2019 (konsolidierte Textfassung, kein amtliches Inkrafttretensdatum)</w:t>
      </w:r>
    </w:p>
    <w:p>
      <w:r>
        <w:t xml:space="preserve">Befindet sich der Verfolgte in Überstellungshaft oder in vorläufiger Überstellungshaft, so entscheidet das Oberlandesgericht über eine Aussetzung des Vollzuges des Überstellungshaftbefehls, wenn der Verfolgte seit dem Tag der Ergreifung, der vorläufigen Festnahme oder der letzten Entscheidung über den Vollzug des Überstellungshaftbefehls insgesamt zwei Monate zum Zweck der Überstellung in Haft ist. Die Haftprüfung wird jeweils nach zwei Monaten wiederholt. Das Oberlandesgericht kann anordnen, dass die Haftprüfung innerhalb einer kürzeren Frist vorgenommen wird. § 16 Abs. 2 und 3 ist entsprechend anzuwenden.</w:t>
      </w:r>
    </w:p>
    <w:p>
      <w:r>
        <w:rPr>
          <w:color w:val="555555"/>
          <w:sz w:val="17"/>
        </w:rPr>
        <w:t xml:space="preserve">Zitiervorschlag: § 17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