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IStGHG — Verfahren nach vorläufiger Festnahme</w:t>
      </w:r>
    </w:p>
    <w:p>
      <w:r>
        <w:rPr>
          <w:color w:val="555555"/>
          <w:sz w:val="18"/>
        </w:rPr>
        <w:t xml:space="preserve">IStGH-Gesetz</w:t>
      </w:r>
    </w:p>
    <w:p>
      <w:r>
        <w:rPr>
          <w:color w:val="555555"/>
          <w:sz w:val="18"/>
        </w:rPr>
        <w:t xml:space="preserve">Stand: 10.06.2019 (konsolidierte Textfassung, kein amtliches Inkrafttretensdatum)</w:t>
      </w:r>
    </w:p>
    <w:p>
      <w:r>
        <w:t xml:space="preserve">(1) Wird der Verfolgte vorläufig festgenommen, so ist er unverzüglich, spätestens am Tag nach der Festnahme, dem Richter des nächsten Amtsgerichts vorzuführen.</w:t>
      </w:r>
    </w:p>
    <w:p>
      <w:r>
        <w:t xml:space="preserve">(2) § 14 Abs. 2 ist auf die Vernehmung des Verfolgten entsprechend anzuwenden.</w:t>
      </w:r>
    </w:p>
    <w:p>
      <w:r>
        <w:t xml:space="preserve">(3) Ergibt sich bei der Vernehmung, dass der Ergriffene nicht die Person ist, auf die sich das Ersuchen oder die Tatsachen im Sinne des § 11 Abs. 2 beziehen, so ordnet der Richter beim Amtsgericht seine Freilassung an. Andernfalls ordnet der Richter beim Amtsgericht an, dass der Verfolgte bis zur Entscheidung des Oberlandesgerichts festzuhalten ist. Die Staatsanwaltschaft bei dem Oberlandesgericht führt unverzüglich die Entscheidung des Oberlandesgerichts herbei; die Beteiligung des Gerichtshofes richtet sich nach Artikel 59 Abs. 4 bis 6 des Römischen Statuts. § 14 Abs. 5 bis 7 gilt entsprechend.</w:t>
      </w:r>
    </w:p>
    <w:p>
      <w:r>
        <w:rPr>
          <w:color w:val="555555"/>
          <w:sz w:val="17"/>
        </w:rPr>
        <w:t xml:space="preserve">Zitiervorschlag: § 15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