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ISBV (Bayern) — Inkrafttreten</w:t>
      </w:r>
    </w:p>
    <w:p>
      <w:r>
        <w:rPr>
          <w:color w:val="555555"/>
          <w:sz w:val="18"/>
        </w:rPr>
        <w:t xml:space="preserve">ISB-Verordnung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Mai 2005 in Kraft.</w:t>
      </w:r>
    </w:p>
    <w:p>
      <w:r>
        <w:rPr>
          <w:color w:val="555555"/>
          <w:sz w:val="17"/>
        </w:rPr>
        <w:t xml:space="preserve">Zitiervorschlag: § 3 ISBV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https://recht.nulegal.eu/gesetze/ISBV/3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