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ISAusbV 1997 — Übergangsregelung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12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