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IRegGebV — Gebühren für den Zugang zu den Registerdaten</w:t>
      </w:r>
    </w:p>
    <w:p>
      <w:r>
        <w:rPr>
          <w:color w:val="555555"/>
          <w:sz w:val="18"/>
        </w:rPr>
        <w:t xml:space="preserve">Implantateregister-Gebührenverordnung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(1) Für den Datenzugang nach § 29 Absatz 1 Satz 1 Nummer 1 bis 6 und Satz 2 sowie Absatz 2 des Implantateregistergesetzes auf Anfrage nach § 19 Absatz 2 und 3 der Implantateregister-Betriebsverordnung und für den Datenzugang zu Forschungszwecken oder statistischen Zwecken nach § 31 des Implantateregistergesetzes werden jeweils folgende Gebühren erhoben:</w:t>
      </w:r>
    </w:p>
    <w:p>
      <w:pPr>
        <w:ind w:left="420"/>
      </w:pPr>
      <w:r>
        <w:t xml:space="preserve">1. eine Grundgebühr in Höhe von 300 Euro,</w:t>
      </w:r>
    </w:p>
    <w:p>
      <w:pPr>
        <w:ind w:left="420"/>
      </w:pPr>
      <w:r>
        <w:t xml:space="preserve">2. für die Übermittlung der anonymisierten Daten oder die Bereitstellung der pseudonymisierten Daten in den Räumlichkeiten der Registerstelle eine Gebühr von 300 Euro je Jahrgang der Daten und</w:t>
      </w:r>
    </w:p>
    <w:p>
      <w:pPr>
        <w:ind w:left="420"/>
      </w:pPr>
      <w:r>
        <w:t xml:space="preserve">3. für die notwendige Beratung und Erstellung von Auswertungsplänen eine aufwandsabhängige Gebühr in Höhe von 50 bis 3 000 Euro.</w:t>
      </w:r>
    </w:p>
    <w:p>
      <w:r>
        <w:t xml:space="preserve">(2) Erfordert eine gebührenpflichtige Leistung nach Absatz 1 im Einzelfall einen außergewöhnlich hohen Personal- und Sachaufwand, können die Gebühren nach Absatz 1 im Einzelfall bis auf das Doppelte erhöht werden. In diesem Fall hat die Geschäftsstelle den Gebührenschuldner vor Beginn der Bearbeitung über die beabsichtigte Erhöhung der Gebühren in Kenntnis zu setzen.</w:t>
      </w:r>
    </w:p>
    <w:p>
      <w:r>
        <w:t xml:space="preserve">(3) Die Gebühren nach Absatz 1 können bis auf die Hälfte der jeweils vorgesehenen Gebühr ermäßigt werden, wenn der mit der Leistung verbundene Personal- und Sachaufwand dies rechtfertigen.</w:t>
      </w:r>
    </w:p>
    <w:p>
      <w:r>
        <w:t xml:space="preserve">(4) Die nach den Absätzen 1 bis 3 zu erhebenden Gebühren ermäßigen sich um 25 Prozent, wenn in den Fällen des § 29 Absatz 1 Satz 1 Nummer 2 und des § 31 des Implantateregistergesetzes eine Studie ohne wirtschaftliche Zwecksetzung und ohne finanzielle Beteiligung oder Unterstützung von nichtöffentlichen Stellen und Unternehmen durchgeführt wird. Der Antragsteller hat die Voraussetzungen des Satzes 1 darzulegen und durch Einreichung entsprechender Unterlagen nachzuweisen.</w:t>
      </w:r>
    </w:p>
    <w:p>
      <w:r>
        <w:t xml:space="preserve">(5) Aus Gründen der Billigkeit kann im Einzelfall eine weitergehende Gebührenermäßigung oder -befreiung gewährt werden.</w:t>
      </w:r>
    </w:p>
    <w:p>
      <w:r>
        <w:rPr>
          <w:color w:val="555555"/>
          <w:sz w:val="17"/>
        </w:rPr>
        <w:t xml:space="preserve">Zitiervorschlag: § 4 IRegGebV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