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IRegGebV — Gebühr für die Erfassung von Implantaten</w:t>
      </w:r>
    </w:p>
    <w:p>
      <w:r>
        <w:rPr>
          <w:color w:val="555555"/>
          <w:sz w:val="18"/>
        </w:rPr>
        <w:t xml:space="preserve">Implantateregister-Gebührenverordnung</w:t>
      </w:r>
    </w:p>
    <w:p>
      <w:r>
        <w:rPr>
          <w:color w:val="555555"/>
          <w:sz w:val="18"/>
        </w:rPr>
        <w:t xml:space="preserve">Stand: 20.12.2023 (konsolidierte Textfassung, kein amtliches Inkrafttretensdatum)</w:t>
      </w:r>
    </w:p>
    <w:p>
      <w:r>
        <w:t xml:space="preserve">(1) Für die Erfassung der Implantate und die auf ihre Qualität bezogenen Auswertungen wird für jedes Produkt, das in der zentralen Produktdatenbank registriert ist, eine Gebühr von 1,93 Euro je von einer verantwortlichen Gesundheitseinrichtung gemeldeter Implantation des Produkts erhoben. Mit der Gebühr sind auch die Kosten der standardisierten Berichte nach § 19 Absatz 1 Nummer 2 der Implantateregister-Betriebsverordnung abgegolten.</w:t>
      </w:r>
    </w:p>
    <w:p>
      <w:r>
        <w:t xml:space="preserve">(2) Zur Zahlung der Gebühren nach Absatz 1 verpflichtet ist</w:t>
      </w:r>
    </w:p>
    <w:p>
      <w:pPr>
        <w:ind w:left="420"/>
      </w:pPr>
      <w:r>
        <w:t xml:space="preserve">1. der Hersteller,</w:t>
      </w:r>
    </w:p>
    <w:p>
      <w:pPr>
        <w:ind w:left="420"/>
      </w:pPr>
      <w:r>
        <w:t xml:space="preserve">2. in den Fällen des Artikels 11 Absatz 1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L 241 vom 8.7.2021, S. 7), die zuletzt durch die Delegierte Verordnung (EU) 2023/2197 (ABl. L, 2023/2197, 20.10.2023) geändert worden ist, in der jeweils geltenden Fassung, der Bevollmächtigte des Herstellers oder</w:t>
      </w:r>
    </w:p>
    <w:p>
      <w:pPr>
        <w:ind w:left="420"/>
      </w:pPr>
      <w:r>
        <w:t xml:space="preserve">3. bei Produkten, die sich in der klinischen Prüfung befinden, der Sponsor der klinischen Prüfung.</w:t>
      </w:r>
    </w:p>
    <w:p>
      <w:r>
        <w:t xml:space="preserve">(3) Die Gebühren nach Absatz 1 werden zum Ende des Jahres fällig, in dem sie entstanden sind. Sie werden jährlich als Summe auf der Grundlage der im Register gespeicherten Daten erhoben.</w:t>
      </w:r>
    </w:p>
    <w:p>
      <w:r>
        <w:rPr>
          <w:color w:val="555555"/>
          <w:sz w:val="17"/>
        </w:rPr>
        <w:t xml:space="preserve">Zitiervorschlag: § 3 IRegGebV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