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IRegGebV — Anwendungsbereich</w:t>
      </w:r>
    </w:p>
    <w:p>
      <w:r>
        <w:rPr>
          <w:color w:val="555555"/>
          <w:sz w:val="18"/>
        </w:rPr>
        <w:t xml:space="preserve">Implantateregister-Gebührenverordnung</w:t>
      </w:r>
    </w:p>
    <w:p>
      <w:r>
        <w:rPr>
          <w:color w:val="555555"/>
          <w:sz w:val="18"/>
        </w:rPr>
        <w:t xml:space="preserve">Stand: 20.12.2023 (konsolidierte Textfassung, kein amtliches Inkrafttretensdatum)</w:t>
      </w:r>
    </w:p>
    <w:p>
      <w:r>
        <w:t xml:space="preserve">Das Bundesministerium für Gesundheit erhebt für die nach dem Implantateregistergesetz und der Implantateregister-Betriebsverordnung erbrachten individuell zurechenbaren öffentlichen Leistungen Gebühren nach Maßgabe der Vorschriften dieser Rechtsverordnung.</w:t>
      </w:r>
    </w:p>
    <w:p>
      <w:r>
        <w:rPr>
          <w:color w:val="555555"/>
          <w:sz w:val="17"/>
        </w:rPr>
        <w:t xml:space="preserve">Zitiervorschlag: § 1 IRegGebV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https://recht.nulegal.eu/gesetze/IRegGebV/1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