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IRegG — (zu § 2 Nummer 1) Liste der Implantattypen</w:t>
      </w:r>
    </w:p>
    <w:p>
      <w:r>
        <w:rPr>
          <w:color w:val="555555"/>
          <w:sz w:val="18"/>
        </w:rPr>
        <w:t xml:space="preserve">Implantateregistergesetz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(Fundstelle: BGBl. I 2019, 2505)</w:t>
      </w:r>
    </w:p>
    <w:p>
      <w:pPr>
        <w:ind w:left="420"/>
      </w:pPr>
      <w:r>
        <w:t xml:space="preserve">– Gelenkendoprothesen (für Hüfte, Knie, Schulter, Ellenbogen und Sprunggelenk),</w:t>
      </w:r>
    </w:p>
    <w:p>
      <w:pPr>
        <w:ind w:left="420"/>
      </w:pPr>
      <w:r>
        <w:t xml:space="preserve">– Brustimplantate,</w:t>
      </w:r>
    </w:p>
    <w:p>
      <w:pPr>
        <w:ind w:left="420"/>
      </w:pPr>
      <w:r>
        <w:t xml:space="preserve">– Herzklappen und andere kardiale Implantate,</w:t>
      </w:r>
    </w:p>
    <w:p>
      <w:pPr>
        <w:ind w:left="420"/>
      </w:pPr>
      <w:r>
        <w:t xml:space="preserve">– implantierbare Defibrillatoren und Herzschrittmacher,</w:t>
      </w:r>
    </w:p>
    <w:p>
      <w:pPr>
        <w:ind w:left="420"/>
      </w:pPr>
      <w:r>
        <w:t xml:space="preserve">– Neurostimulatoren,</w:t>
      </w:r>
    </w:p>
    <w:p>
      <w:pPr>
        <w:ind w:left="420"/>
      </w:pPr>
      <w:r>
        <w:t xml:space="preserve">– Cochlea-Implantate,</w:t>
      </w:r>
    </w:p>
    <w:p>
      <w:pPr>
        <w:ind w:left="420"/>
      </w:pPr>
      <w:r>
        <w:t xml:space="preserve">– Wirbelkörperersatzsysteme und Bandscheibenprothesen und</w:t>
      </w:r>
    </w:p>
    <w:p>
      <w:pPr>
        <w:ind w:left="420"/>
      </w:pPr>
      <w:r>
        <w:t xml:space="preserve">– Stents.</w:t>
      </w:r>
    </w:p>
    <w:p>
      <w:r>
        <w:rPr>
          <w:color w:val="555555"/>
          <w:sz w:val="17"/>
        </w:rPr>
        <w:t xml:space="preserve">Zitiervorschlag: Anlage IRegG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https://recht.nulegal.eu/gesetze/IRegG/anlage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