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IRegG — Geschäftsstelle; Aufgaben der Geschäftsstelle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23.07.2020 (konsolidierte Textfassung, kein amtliches Inkrafttretensdatum)</w:t>
      </w:r>
    </w:p>
    <w:p>
      <w:r>
        <w:t xml:space="preserve">(1) Das Bundesministerium für Gesundheit unterhält eine Geschäftsstelle für das Implantateregister.</w:t>
      </w:r>
    </w:p>
    <w:p>
      <w:r>
        <w:t xml:space="preserve">(2) Die Geschäftsstelle hat insbesondere</w:t>
      </w:r>
    </w:p>
    <w:p>
      <w:pPr>
        <w:ind w:left="420"/>
      </w:pPr>
      <w:r>
        <w:t xml:space="preserve">1. die Registerstelle und den Beirat bei der Erfüllung ihrer Aufgaben zu unterstützen und</w:t>
      </w:r>
    </w:p>
    <w:p>
      <w:pPr>
        <w:ind w:left="420"/>
      </w:pPr>
      <w:r>
        <w:t xml:space="preserve">2. Auswertungsgruppen zur Unterstützung der Registerstelle zu besetzen, einzuberufen, zu koordinieren und zu unterstützen.</w:t>
      </w:r>
    </w:p>
    <w:p>
      <w:r>
        <w:t xml:space="preserve">(3) Die Geschäftsstelle erstellt und veröffentlicht jährlich einen Tätigkeitsbericht. Der Tätigkeitsbericht soll</w:t>
      </w:r>
    </w:p>
    <w:p>
      <w:pPr>
        <w:ind w:left="420"/>
      </w:pPr>
      <w:r>
        <w:t xml:space="preserve">1. die Tätigkeit des Implantateregisters darstellen und</w:t>
      </w:r>
    </w:p>
    <w:p>
      <w:pPr>
        <w:ind w:left="420"/>
      </w:pPr>
      <w:r>
        <w:t xml:space="preserve">2. Angaben enthalten</w:t>
      </w:r>
    </w:p>
    <w:p>
      <w:pPr>
        <w:ind w:left="780"/>
      </w:pPr>
      <w:r>
        <w:t xml:space="preserve">a) zu den durchgeführten statistischen Auswertungen,</w:t>
      </w:r>
    </w:p>
    <w:p>
      <w:pPr>
        <w:ind w:left="780"/>
      </w:pPr>
      <w:r>
        <w:t xml:space="preserve">b) zu den Ergebnissen der Auswertungen zur Produktqualität von Implantaten und zur Versorgungsqualität in den meldepflichtigen verantwortlichen Gesundheitseinrichtungen und</w:t>
      </w:r>
    </w:p>
    <w:p>
      <w:pPr>
        <w:ind w:left="780"/>
      </w:pPr>
      <w:r>
        <w:t xml:space="preserve">c) zu den nach § 31 an Dritte zu Forschungszwecken oder statistischen Zwecken übermittelten oder zugänglich gemachten Daten.</w:t>
      </w:r>
    </w:p>
    <w:p>
      <w:r>
        <w:t xml:space="preserve">Der Tätigkeitsbericht soll in verständlicher Form abgefasst und barrierefrei zugänglich sein.</w:t>
      </w:r>
    </w:p>
    <w:p>
      <w:r>
        <w:t xml:space="preserve">(4) Die Geschäftsstelle erstellt und veröffentlicht Informationen für die Patientinnen und Patienten über</w:t>
      </w:r>
    </w:p>
    <w:p>
      <w:pPr>
        <w:ind w:left="420"/>
      </w:pPr>
      <w:r>
        <w:t xml:space="preserve">1. den Zweck des Implantateregisters,</w:t>
      </w:r>
    </w:p>
    <w:p>
      <w:pPr>
        <w:ind w:left="420"/>
      </w:pPr>
      <w:r>
        <w:t xml:space="preserve">2. die Einzelheiten der Datenverarbeitung sowie der Möglichkeit der Auswertung der Daten unter Beachtung der Vorgaben des Artikels 14 Absatz 1 und 2 der Verordnung (EU) 2016/679 und</w:t>
      </w:r>
    </w:p>
    <w:p>
      <w:pPr>
        <w:ind w:left="420"/>
      </w:pPr>
      <w:r>
        <w:t xml:space="preserve">3. die Beschränkungen der Betroffenenrechte nach § 26.</w:t>
      </w:r>
    </w:p>
    <w:p>
      <w:r>
        <w:t xml:space="preserve">Die Informationen müssen in verständlicher Form abgefasst sein, in mehreren Sprachen vorliegen und barrierefrei zugänglich sein.</w:t>
      </w:r>
    </w:p>
    <w:p>
      <w:r>
        <w:rPr>
          <w:color w:val="555555"/>
          <w:sz w:val="17"/>
        </w:rPr>
        <w:t xml:space="preserve">Zitiervorschlag: § 7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