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IRegG — Beleihung mit Aufgaben der Registerstelle; Verordnungsermächtigung</w:t>
      </w:r>
    </w:p>
    <w:p>
      <w:r>
        <w:rPr>
          <w:color w:val="555555"/>
          <w:sz w:val="18"/>
        </w:rPr>
        <w:t xml:space="preserve">Implantateregistergesetz</w:t>
      </w:r>
    </w:p>
    <w:p>
      <w:r>
        <w:rPr>
          <w:color w:val="555555"/>
          <w:sz w:val="18"/>
        </w:rPr>
        <w:t xml:space="preserve">Stand: 10.01.2020 (konsolidierte Textfassung, kein amtliches Inkrafttretensdatum)</w:t>
      </w:r>
    </w:p>
    <w:p>
      <w:r>
        <w:t xml:space="preserve">(1) Das Bundesministerium für Gesundheit wird ermächtigt, durch Rechtsverordnung, die nicht der Zustimmung des Bundesrates bedarf, eine juristische Person des Privatrechts, deren Mehrheitsgesellschafterin der Bund ist, mit Aufgaben der Registerstelle und den hierfür erforderlichen Befugnissen zu beleihen, wenn diese Person die Gewähr für die ordnungsgemäße Erfüllung der ihr übertragenen Aufgaben, insbesondere für den sicheren Betrieb des Implantateregisters, bietet. Wird eine juristische Person des Privatrechts nach Satz 1 mit der Aufgabe der Registerstelle nach § 4 Absatz 1 Nummer 3 beliehen, ist die Beliehene die für die Verarbeitung der ihr nach § 9 Absatz 1 und § 16 übermittelten Daten Verantwortliche nach Artikel 24 der Verordnung (EU) 2016/679.</w:t>
      </w:r>
    </w:p>
    <w:p>
      <w:r>
        <w:t xml:space="preserve">(2) Eine juristische Person des Privatrechts bietet die Gewähr für die ordnungsgemäße Erfüllung der ihr übertragenen Aufgaben, wenn</w:t>
      </w:r>
    </w:p>
    <w:p>
      <w:pPr>
        <w:ind w:left="420"/>
      </w:pPr>
      <w:r>
        <w:t xml:space="preserve">1. die natürlichen Personen, die nach dem Gesetz, dem Gesellschaftsvertrag oder der Satzung die Geschäftsführung und Vertretung ausüben, zuverlässig und fachlich geeignet sind,</w:t>
      </w:r>
    </w:p>
    <w:p>
      <w:pPr>
        <w:ind w:left="420"/>
      </w:pPr>
      <w:r>
        <w:t xml:space="preserve">2. sie die zur Erfüllung ihrer Aufgaben notwendige Organisation sowie technische und finanzielle Ausstattung hat und</w:t>
      </w:r>
    </w:p>
    <w:p>
      <w:pPr>
        <w:ind w:left="420"/>
      </w:pPr>
      <w:r>
        <w:t xml:space="preserve">3. sie bei Beleihung mit der Aufgabe der Registerstelle nach § 4 Absatz 1 Nummer 3 gewährleistet, dass pseudonymisierte Daten nur solchen Personen zugänglich gemacht werden, die einer Geheimhaltungspflicht nach § 203 des Strafgesetzbuches unterliegen.</w:t>
      </w:r>
    </w:p>
    <w:p>
      <w:r>
        <w:t xml:space="preserve">(3) Die Beleihung ist zu befristen. Sie soll fünf Jahre nicht unterschreiten. Sie kann verlängert werden. Bei Vorliegen eines wichtigen Grundes kann das Bundesministerium für Gesundheit die Beleihung vor Ablauf der Frist beenden. Das Bundesministerium für Gesundheit kann die Beleihung jederzeit beenden, wenn die Voraussetzungen der Beleihung</w:t>
      </w:r>
    </w:p>
    <w:p>
      <w:pPr>
        <w:ind w:left="420"/>
      </w:pPr>
      <w:r>
        <w:t xml:space="preserve">1. zum Zeitpunkt der Beleihung nicht vorgelegen haben oder</w:t>
      </w:r>
    </w:p>
    <w:p>
      <w:pPr>
        <w:ind w:left="420"/>
      </w:pPr>
      <w:r>
        <w:t xml:space="preserve">2. nach dem Zeitpunkt der Beleihung entfallen sind.</w:t>
      </w:r>
    </w:p>
    <w:p>
      <w:r>
        <w:t xml:space="preserve">(4) Das Bundesministerium für Gesundheit stellt sicher, dass die Beliehene mit Beendigung der Beleihung der Registerstelle unverzüglich</w:t>
      </w:r>
    </w:p>
    <w:p>
      <w:pPr>
        <w:ind w:left="420"/>
      </w:pPr>
      <w:r>
        <w:t xml:space="preserve">1. alle im Rahmen der Beleihung entwickelten Softwareprogramme und erhobenen Daten, die für den ordnungsgemäßen Weiterbetrieb des Implantateregisters erforderlich sind, zur Verfügung stellt und</w:t>
      </w:r>
    </w:p>
    <w:p>
      <w:pPr>
        <w:ind w:left="420"/>
      </w:pPr>
      <w:r>
        <w:t xml:space="preserve">2. die Rechte an diesen Softwareprogrammen und Daten überträgt.</w:t>
      </w:r>
    </w:p>
    <w:p>
      <w:r>
        <w:rPr>
          <w:color w:val="555555"/>
          <w:sz w:val="17"/>
        </w:rPr>
        <w:t xml:space="preserve">Zitiervorschlag: § 5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