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IRegG — Nachweispflicht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Bei der Abrechnung der implantatbezogenen Maßnahme weist die verantwortliche Gesundheitseinrichtung durch Vorlage der Meldebestätigung nach § 4 Absatz 3 nach, dass sie der Registerstelle die Daten nach § 16 Absatz 1 und der Vertrauensstelle die Daten nach § 17 Absatz 1 übermittelt und ein in der Produktdatenbank registriertes Produkt verwendet hat.</w:t>
      </w:r>
    </w:p>
    <w:p>
      <w:r>
        <w:t xml:space="preserve">(2) Der Nachweis ist zu erbringen gegenüber</w:t>
      </w:r>
    </w:p>
    <w:p>
      <w:pPr>
        <w:ind w:left="420"/>
      </w:pPr>
      <w:r>
        <w:t xml:space="preserve">1. der Kassenärztlichen Vereinigung oder der gesetzlichen Krankenkasse,</w:t>
      </w:r>
    </w:p>
    <w:p>
      <w:pPr>
        <w:ind w:left="420"/>
      </w:pPr>
      <w:r>
        <w:t xml:space="preserve">2. dem privaten Krankenversicherungsunternehmen,</w:t>
      </w:r>
    </w:p>
    <w:p>
      <w:pPr>
        <w:ind w:left="420"/>
      </w:pPr>
      <w:r>
        <w:t xml:space="preserve">3. dem zuständigen Träger der gesetzlichen Unfallversicherung,</w:t>
      </w:r>
    </w:p>
    <w:p>
      <w:pPr>
        <w:ind w:left="420"/>
      </w:pPr>
      <w:r>
        <w:t xml:space="preserve">4. dem sonstigen Kostenträger oder</w:t>
      </w:r>
    </w:p>
    <w:p>
      <w:pPr>
        <w:ind w:left="420"/>
      </w:pPr>
      <w:r>
        <w:t xml:space="preserve">5. der betroffenen Patientin oder dem betroffenen Patienten.</w:t>
      </w:r>
    </w:p>
    <w:p>
      <w:r>
        <w:t xml:space="preserve">(3) In der Abrechnung hat die verantwortliche Gesundheitseinrichtung auf ihre Nachweispflicht hinzuweisen.</w:t>
      </w:r>
    </w:p>
    <w:p>
      <w:r>
        <w:rPr>
          <w:color w:val="555555"/>
          <w:sz w:val="17"/>
        </w:rPr>
        <w:t xml:space="preserve">Zitiervorschlag: § 36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