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IRegG — Vergütung der verantwortlichen Gesundheitseinrichtungen</w:t>
      </w:r>
    </w:p>
    <w:p>
      <w:r>
        <w:rPr>
          <w:color w:val="555555"/>
          <w:sz w:val="18"/>
        </w:rPr>
        <w:t xml:space="preserve">Implantateregistergesetz</w:t>
      </w:r>
    </w:p>
    <w:p>
      <w:r>
        <w:rPr>
          <w:color w:val="555555"/>
          <w:sz w:val="18"/>
        </w:rPr>
        <w:t xml:space="preserve">Stand: 23.07.2020 (konsolidierte Textfassung, kein amtliches Inkrafttretensdatum)</w:t>
      </w:r>
    </w:p>
    <w:p>
      <w:r>
        <w:t xml:space="preserve">(1) Die Vergütung des Aufwandes der verantwortlichen Gesundheitseinrichtungen erfolgt</w:t>
      </w:r>
    </w:p>
    <w:p>
      <w:pPr>
        <w:ind w:left="420"/>
      </w:pPr>
      <w:r>
        <w:t xml:space="preserve">1. für Krankenhäuser im Sinne des § 2 Nummer 1 des Krankenhausfinanzierungsgesetzes durch den Zuschlag nach § 17b Absatz 1a Nummer 9 des Krankenhausfinanzierungsgesetzes, der in der Rechnung des Krankenhauses jeweils gesondert auszuweisen ist, und</w:t>
      </w:r>
    </w:p>
    <w:p>
      <w:pPr>
        <w:ind w:left="420"/>
      </w:pPr>
      <w:r>
        <w:t xml:space="preserve">2. für die Vertragsärzte nach § 87 Absatz 2l des Fünften Buches Sozialgesetzbuch.</w:t>
      </w:r>
    </w:p>
    <w:p>
      <w:r>
        <w:t xml:space="preserve">(2) Mit der Vergütung nach Absatz 1 werden der einmalige und laufende Aufwand für die Erfüllung der Pflichten nach den §§ 16 und 17 Absatz 1 sowie den §§ 18, 20, 24 und 25 und die zu zahlenden Gebühren nach § 33 Absatz 1 Satz 2 Nummer 1 abgegolten.</w:t>
      </w:r>
    </w:p>
    <w:p>
      <w:r>
        <w:rPr>
          <w:color w:val="555555"/>
          <w:sz w:val="17"/>
        </w:rPr>
        <w:t xml:space="preserve">Zitiervorschlag: § 34 IRegG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