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IRegG — Finanzierung durch Gebühren; Verordnungsermächtigung</w:t>
      </w:r>
    </w:p>
    <w:p>
      <w:r>
        <w:rPr>
          <w:color w:val="555555"/>
          <w:sz w:val="18"/>
        </w:rPr>
        <w:t xml:space="preserve">Implantateregistergesetz</w:t>
      </w:r>
    </w:p>
    <w:p>
      <w:r>
        <w:rPr>
          <w:color w:val="555555"/>
          <w:sz w:val="18"/>
        </w:rPr>
        <w:t xml:space="preserve">Stand: 23.07.2020 (konsolidierte Textfassung, kein amtliches Inkrafttretensdatum)</w:t>
      </w:r>
    </w:p>
    <w:p>
      <w:r>
        <w:t xml:space="preserve">(1) Das Bundesministerium für Gesundheit erhebt für die Erbringung der nach diesem Gesetz oder nach den zur Durchführung dieses Gesetzes erlassenen Rechtsverordnungen vorgesehenen individuell zurechenbaren öffentlichen Leistungen Gebühren zur Deckung des Verwaltungsaufwands. Die Gebühren werden erhoben von</w:t>
      </w:r>
    </w:p>
    <w:p>
      <w:pPr>
        <w:ind w:left="420"/>
      </w:pPr>
      <w:r>
        <w:t xml:space="preserve">1. den nach den §§ 16 und 17 Absatz 1 meldepflichtigen verantwortlichen Gesundheitseinrichtungen,</w:t>
      </w:r>
    </w:p>
    <w:p>
      <w:pPr>
        <w:ind w:left="420"/>
      </w:pPr>
      <w:r>
        <w:t xml:space="preserve">2. den Empfängern der nach § 29 Absatz 1 Nummer 1 bis 6 und § 31 übermittelten oder zugänglich gemachten Daten und</w:t>
      </w:r>
    </w:p>
    <w:p>
      <w:pPr>
        <w:ind w:left="420"/>
      </w:pPr>
      <w:r>
        <w:t xml:space="preserve">3. den nach § 15 registrierungspflichtigen Produktverantwortlichen.</w:t>
      </w:r>
    </w:p>
    <w:p>
      <w:r>
        <w:t xml:space="preserve">(2) Das Bundesministerium für Gesundheit wird ermächtigt, durch Rechtsverordnung ohne Zustimmung des Bundesrates die gebührenpflichtigen Tatbestände nach Absatz 1 Satz 1 zu bestimmen und dabei feste Sätze oder Rahmensätze vorzusehen sowie Regelungen über die Gebührenentstehung, die Gebührenerhebung, den Gebührenschuldner, die Gebührenbefreiungen, die Fälligkeit, die Stundung, die Niederschlagung, den Erlass, die Säumniszuschläge, die Verjährung und die Erstattung zu treffen. Die Gebührensätze oder Rahmensätze sind so zu bemessen, dass sie den auf die Leistungen entfallenden durchschnittlichen Personal- und Sachaufwand nicht übersteigen. In der Rechtsverordnung kann bestimmt werden, dass eine Gebühr von dem Empfänger von Daten nach Absatz 1 Satz 2 Nummer 2 auch für eine Leistung erhoben werden kann, die nicht zu Ende geführt worden ist, wenn die Gründe von demjenigen zu vertreten sind, der die Leistung veranlasst hat.</w:t>
      </w:r>
    </w:p>
    <w:p>
      <w:r>
        <w:t xml:space="preserve">(3) Im Rahmen einer ambulanten privatärztlichen Behandlung gelten die Gebühren als gesondert berechnungsfähige Auslagen nach den §§ 3 und 10 der Gebührenordnung für Ärzte. Dies gilt nicht für wahlärztliche Behandlungen nach § 17 Absatz 3 des Krankenhausentgeltgesetzes.</w:t>
      </w:r>
    </w:p>
    <w:p>
      <w:r>
        <w:rPr>
          <w:color w:val="555555"/>
          <w:sz w:val="17"/>
        </w:rPr>
        <w:t xml:space="preserve">Zitiervorschlag: § 33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