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IRegG — Anonymisierung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Registerstelle hat die pseudonymisierten Daten zu anonymisieren, wenn den Zwecken des Implantateregisters nach § 1 auch mit anonymisierten Daten entsprochen werden kann.</w:t>
      </w:r>
    </w:p>
    <w:p>
      <w:r>
        <w:t xml:space="preserve">(2) Die Registerstelle unterrichtet über die Anonymisierung der Daten der betroffenen Patientin oder des betroffenen Patienten</w:t>
      </w:r>
    </w:p>
    <w:p>
      <w:pPr>
        <w:ind w:left="420"/>
      </w:pPr>
      <w:r>
        <w:t xml:space="preserve">1. die Vertrauensstelle und</w:t>
      </w:r>
    </w:p>
    <w:p>
      <w:pPr>
        <w:ind w:left="420"/>
      </w:pPr>
      <w:r>
        <w:t xml:space="preserve">2. über die Vertrauensstelle die gesetzliche Krankenkasse, das private Krankenversicherungsunternehmen oder den sonstigen Kostenträger der betroffenen Patientin oder des betroffenen Patienten.</w:t>
      </w:r>
    </w:p>
    <w:p>
      <w:r>
        <w:rPr>
          <w:color w:val="555555"/>
          <w:sz w:val="17"/>
        </w:rPr>
        <w:t xml:space="preserve">Zitiervorschlag: § 32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