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IRegG — Registerstelle</w:t>
      </w:r>
    </w:p>
    <w:p>
      <w:r>
        <w:rPr>
          <w:color w:val="555555"/>
          <w:sz w:val="18"/>
        </w:rPr>
        <w:t xml:space="preserve">Implantateregistergesetz</w:t>
      </w:r>
    </w:p>
    <w:p>
      <w:r>
        <w:rPr>
          <w:color w:val="555555"/>
          <w:sz w:val="18"/>
        </w:rPr>
        <w:t xml:space="preserve">Stand: 23.07.2020 (konsolidierte Textfassung, kein amtliches Inkrafttretensdatum)</w:t>
      </w:r>
    </w:p>
    <w:p>
      <w:r>
        <w:t xml:space="preserve">(1) Das Bundesministerium für Gesundheit errichtet und betreibt eine Registerstelle für das Implantateregister. Die Registerstelle ist die für die Verarbeitung der ihr nach § 9 Absatz 1 und § 16 übermittelten Daten Verantwortliche nach Artikel 24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w:t>
      </w:r>
    </w:p>
    <w:p>
      <w:r>
        <w:t xml:space="preserve">(2) Die Registerstelle muss durch die Qualifikation ihrer Mitarbeiterinnen und Mitarbeiter sowie durch ihre räumliche, sachliche und technische Ausstattung gewährleisten, dass sie die ihr übertragenen Aufgaben erfüllen kann. Die Registerstelle muss weiter gewährleisten, dass Zugang zu den pseudonymisierten Daten nur solche Personen erhalten, die einer Geheimhaltungspflicht nach § 203 des Strafgesetzbuches unterliegen.</w:t>
      </w:r>
    </w:p>
    <w:p>
      <w:r>
        <w:rPr>
          <w:color w:val="555555"/>
          <w:sz w:val="17"/>
        </w:rPr>
        <w:t xml:space="preserve">Zitiervorschlag: § 3 IRegG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