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IRegG — Allgemeine Auskünfte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Geschäftsstelle kann allgemeine Auskünfte zur Arbeitsweise des Registers und zu dessen Datenbestand sowie allgemeine Auskünfte über den Datenbestand der Produktdatenbank zur Verfügung stellen.</w:t>
      </w:r>
    </w:p>
    <w:p>
      <w:r>
        <w:t xml:space="preserve">(2) Die allgemeinen Auskünfte dürfen keine personenbezogenen Daten enthalten.</w:t>
      </w:r>
    </w:p>
    <w:p>
      <w:r>
        <w:rPr>
          <w:color w:val="555555"/>
          <w:sz w:val="17"/>
        </w:rPr>
        <w:t xml:space="preserve">Zitiervorschlag: § 28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