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IRegG — Informationspflicht gegenüber den gesetzlichen Krankenkassen und privaten Krankenversicherungen und sonstigen Kostenträgern</w:t>
      </w:r>
    </w:p>
    <w:p>
      <w:r>
        <w:rPr>
          <w:color w:val="555555"/>
          <w:sz w:val="18"/>
        </w:rPr>
        <w:t xml:space="preserve">Implantateregistergesetz</w:t>
      </w:r>
    </w:p>
    <w:p>
      <w:r>
        <w:rPr>
          <w:color w:val="555555"/>
          <w:sz w:val="18"/>
        </w:rPr>
        <w:t xml:space="preserve">Stand: 10.01.2020 (konsolidierte Textfassung, kein amtliches Inkrafttretensdatum)</w:t>
      </w:r>
    </w:p>
    <w:p>
      <w:r>
        <w:t xml:space="preserve">Die verantwortliche Gesundheitseinrichtung, die eine implantatbezogene Maßnahme durchgeführt hat, informiert die gesetzliche Krankenkasse, das private Krankenversicherungsunternehmen oder den sonstigen Kostenträger der betroffenen Patientin oder des betroffenen Patienten über die Durchführung dieser Maßnahme.</w:t>
      </w:r>
    </w:p>
    <w:p>
      <w:r>
        <w:rPr>
          <w:color w:val="555555"/>
          <w:sz w:val="17"/>
        </w:rPr>
        <w:t xml:space="preserve">Zitiervorschlag: § 25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