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IRegG — Austausch anonymisierter Registerdaten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Registerstelle darf zur Förderung der Zwecke des Implantateregisters nach § 1</w:t>
      </w:r>
    </w:p>
    <w:p>
      <w:pPr>
        <w:ind w:left="420"/>
      </w:pPr>
      <w:r>
        <w:t xml:space="preserve">1. anonymisierte Daten von wissenschaftlichen Registern erheben,</w:t>
      </w:r>
    </w:p>
    <w:p>
      <w:pPr>
        <w:ind w:left="420"/>
      </w:pPr>
      <w:r>
        <w:t xml:space="preserve">2. diese anonymisierten Daten mit den Datenbeständen des Implantateregisters zusammenführen und verarbeiten und</w:t>
      </w:r>
    </w:p>
    <w:p>
      <w:pPr>
        <w:ind w:left="420"/>
      </w:pPr>
      <w:r>
        <w:t xml:space="preserve">3. anderen deutschen und internationalen Implantateregistern anonymisierte Daten zur Verfügung stellen.</w:t>
      </w:r>
    </w:p>
    <w:p>
      <w:r>
        <w:rPr>
          <w:color w:val="555555"/>
          <w:sz w:val="17"/>
        </w:rPr>
        <w:t xml:space="preserve">Zitiervorschlag: § 23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