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IRegG — Einheitliche Datenstruktur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Übermittlung der Daten zur Erfüllung einer Meldepflicht nach den §§ 16 und 17 erfolgt auf der Grundlage einer einheitlichen Datenstruktur.</w:t>
      </w:r>
    </w:p>
    <w:p>
      <w:r>
        <w:t xml:space="preserve">(2) Die Registerstelle erfüllt ihre Aufgabe nach § 4 Absatz 1 Nummer 2</w:t>
      </w:r>
    </w:p>
    <w:p>
      <w:pPr>
        <w:ind w:left="420"/>
      </w:pPr>
      <w:r>
        <w:t xml:space="preserve">1. im Einvernehmen mit der Vertrauensstelle und</w:t>
      </w:r>
    </w:p>
    <w:p>
      <w:pPr>
        <w:ind w:left="420"/>
      </w:pPr>
      <w:r>
        <w:t xml:space="preserve">2. unter Beteiligung</w:t>
      </w:r>
    </w:p>
    <w:p>
      <w:pPr>
        <w:ind w:left="780"/>
      </w:pPr>
      <w:r>
        <w:t xml:space="preserve">a) des Bundesinstituts für Arzneimittel und Medizinprodukte,</w:t>
      </w:r>
    </w:p>
    <w:p>
      <w:pPr>
        <w:ind w:left="780"/>
      </w:pPr>
      <w:r>
        <w:t xml:space="preserve">b) des Spitzenverbandes Bund der Krankenkassen,</w:t>
      </w:r>
    </w:p>
    <w:p>
      <w:pPr>
        <w:ind w:left="780"/>
      </w:pPr>
      <w:r>
        <w:t xml:space="preserve">c) der Deutschen Krankenhausgesellschaft e. V. und der Bundesverbände der Krankenhausträger,</w:t>
      </w:r>
    </w:p>
    <w:p>
      <w:pPr>
        <w:ind w:left="780"/>
      </w:pPr>
      <w:r>
        <w:t xml:space="preserve">d) der Kassenärztlichen Bundesvereinigung,</w:t>
      </w:r>
    </w:p>
    <w:p>
      <w:pPr>
        <w:ind w:left="780"/>
      </w:pPr>
      <w:r>
        <w:t xml:space="preserve">e) des Verbandes der Privaten Krankenversicherung e. V.,</w:t>
      </w:r>
    </w:p>
    <w:p>
      <w:pPr>
        <w:ind w:left="780"/>
      </w:pPr>
      <w:r>
        <w:t xml:space="preserve">f) der am Implantateregister beteiligten medizinischen Fachgesellschaften,</w:t>
      </w:r>
    </w:p>
    <w:p>
      <w:pPr>
        <w:ind w:left="780"/>
      </w:pPr>
      <w:r>
        <w:t xml:space="preserve">g) des Instituts für Qualitätssicherung und Transparenz im Gesundheitswesen,</w:t>
      </w:r>
    </w:p>
    <w:p>
      <w:pPr>
        <w:ind w:left="780"/>
      </w:pPr>
      <w:r>
        <w:t xml:space="preserve">h) der am Implantateregister beteiligten Herstellerverbände der Medizinprodukteindustrie,</w:t>
      </w:r>
    </w:p>
    <w:p>
      <w:pPr>
        <w:ind w:left="780"/>
      </w:pPr>
      <w:r>
        <w:t xml:space="preserve">i) der oder des Beauftragten für den Datenschutz und die Informationsfreiheit und</w:t>
      </w:r>
    </w:p>
    <w:p>
      <w:pPr>
        <w:ind w:left="780"/>
      </w:pPr>
      <w:r>
        <w:t xml:space="preserve">j) der für die Wahrnehmung der Interessen der Industrie maßgeblichen Bundesverbände aus dem Bereich der Informationstechnologien im Gesundheitswesen.</w:t>
      </w:r>
    </w:p>
    <w:p>
      <w:r>
        <w:rPr>
          <w:color w:val="555555"/>
          <w:sz w:val="17"/>
        </w:rPr>
        <w:t xml:space="preserve">Zitiervorschlag: § 20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