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IRegG — Grundsätze der Datenverarbeitung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Vertrauensstelle und die Registerstelle verarbeiten die bei ihnen gespeicherten Daten nach Maßgabe dieses Gesetzes.</w:t>
      </w:r>
    </w:p>
    <w:p>
      <w:r>
        <w:t xml:space="preserve">(2) Die in der Registerstelle gespeicherten Daten dürfen nur zu den in § 1 genannten Zwecken verarbeitet werden.</w:t>
      </w:r>
    </w:p>
    <w:p>
      <w:r>
        <w:rPr>
          <w:color w:val="555555"/>
          <w:sz w:val="17"/>
        </w:rPr>
        <w:t xml:space="preserve">Zitiervorschlag: § 19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