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IRegG — Art der Datenübermittlung</w:t>
      </w:r>
    </w:p>
    <w:p>
      <w:r>
        <w:rPr>
          <w:color w:val="555555"/>
          <w:sz w:val="18"/>
        </w:rPr>
        <w:t xml:space="preserve">Implantateregistergesetz</w:t>
      </w:r>
    </w:p>
    <w:p>
      <w:r>
        <w:rPr>
          <w:color w:val="555555"/>
          <w:sz w:val="18"/>
        </w:rPr>
        <w:t xml:space="preserve">Stand: 20.10.2020 (konsolidierte Textfassung, kein amtliches Inkrafttretensdatum)</w:t>
      </w:r>
    </w:p>
    <w:p>
      <w:r>
        <w:t xml:space="preserve">Die verantwortlichen Gesundheitseinrichtungen, die gesetzlichen Krankenkassen, die privaten Krankenversicherungsunternehmen und die sonstigen Kostenträger haben für die Übermittlung der Daten zur Erfüllung ihrer Meldepflichten nach den §§ 16 und 17 die Telematikinfrastruktur nach § 306 Absatz 1 Satz 1 des Fünften Buches Sozialgesetzbuch zu verwenden.</w:t>
      </w:r>
    </w:p>
    <w:p>
      <w:r>
        <w:rPr>
          <w:color w:val="555555"/>
          <w:sz w:val="17"/>
        </w:rPr>
        <w:t xml:space="preserve">Zitiervorschlag: § 18 IRegG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https://recht.nulegal.eu/gesetze/IRegG/18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