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IRegG — Meldepflichten gegenüber der Vertrauensstelle</w:t>
      </w:r>
    </w:p>
    <w:p>
      <w:r>
        <w:rPr>
          <w:color w:val="555555"/>
          <w:sz w:val="18"/>
        </w:rPr>
        <w:t xml:space="preserve">Implantateregistergesetz</w:t>
      </w:r>
    </w:p>
    <w:p>
      <w:r>
        <w:rPr>
          <w:color w:val="555555"/>
          <w:sz w:val="18"/>
        </w:rPr>
        <w:t xml:space="preserve">Stand: 30.12.2022 (konsolidierte Textfassung, kein amtliches Inkrafttretensdatum)</w:t>
      </w:r>
    </w:p>
    <w:p>
      <w:r>
        <w:t xml:space="preserve">(1) Die verantwortliche Gesundheitseinrichtung übermittelt der Vertrauensstelle nach jeder implantatbezogenen Maßnahme diejenigen patienten- und fallidentifizierenden Daten, die für die Zwecke des Implantateregisters nach § 1 erforderlich sind. Zu den erforderlichen patienten- und fallidentifizierenden Daten gehören insbesondere</w:t>
      </w:r>
    </w:p>
    <w:p>
      <w:pPr>
        <w:ind w:left="420"/>
      </w:pPr>
      <w:r>
        <w:t xml:space="preserve">1. der unveränderbare Teil der Krankenversichertennummer nach § 290 Absatz 1 Satz 2 des Fünften Buches Sozialgesetzbuch oder die Identifikationsnummer nach Absatz 4 Satz 3,</w:t>
      </w:r>
    </w:p>
    <w:p>
      <w:pPr>
        <w:ind w:left="420"/>
      </w:pPr>
      <w:r>
        <w:t xml:space="preserve">2. das Geburtsdatum der betroffenen Patientin oder des betroffenen Patienten,</w:t>
      </w:r>
    </w:p>
    <w:p>
      <w:pPr>
        <w:ind w:left="420"/>
      </w:pPr>
      <w:r>
        <w:t xml:space="preserve">3. das interne Kennzeichen für die Behandlung der betroffenen Patientin oder des betroffenen Patienten,</w:t>
      </w:r>
    </w:p>
    <w:p>
      <w:pPr>
        <w:ind w:left="420"/>
      </w:pPr>
      <w:r>
        <w:t xml:space="preserve">4. das bundeseinheitliche Kennzeichen der verantwortlichen Gesundheitseinrichtung nach § 293 des Fünften Buches Sozialgesetzbuch oder ein anderes eindeutiges Kennzeichen und</w:t>
      </w:r>
    </w:p>
    <w:p>
      <w:pPr>
        <w:ind w:left="420"/>
      </w:pPr>
      <w:r>
        <w:t xml:space="preserve">5. das Institutionskennzeichen der betroffenen Krankenkasse nach § 293 des Fünften Buches Sozialgesetzbuch, eine vergleichbare Kennzeichnung des betroffenen privaten Krankenversicherungsunternehmens oder eine vergleichbare Kennzeichnung des betroffenen sonstigen Kostenträgers, die eine eindeutige Identifizierung ermöglicht.</w:t>
      </w:r>
    </w:p>
    <w:p>
      <w:r>
        <w:t xml:space="preserve">(2) Die gesetzlichen Krankenkassen, die privaten Krankenversicherungsunternehmen und die sonstigen Kostenträger übermitteln der Vertrauensstelle fortlaufend</w:t>
      </w:r>
    </w:p>
    <w:p>
      <w:pPr>
        <w:ind w:left="420"/>
      </w:pPr>
      <w:r>
        <w:t xml:space="preserve">1. den Vitalstatus und das Sterbedatum der von einer implantatbezogenen Maßnahme betroffenen Patientin oder des betroffenen Patienten,</w:t>
      </w:r>
    </w:p>
    <w:p>
      <w:pPr>
        <w:ind w:left="420"/>
      </w:pPr>
      <w:r>
        <w:t xml:space="preserve">2. den Wechsel der Krankenversicherung der betroffenen Patientin oder des betroffenen Patienten unter Angabe des unveränderbaren Teils der Krankenversichertennummer nach § 290 Absatz 1 Satz 2 des Fünften Buches Sozialgesetzbuch sowie einer bisherigen und einer neuen Identifikationsnummer nach Absatz 4 Satz 3,</w:t>
      </w:r>
    </w:p>
    <w:p>
      <w:pPr>
        <w:ind w:left="420"/>
      </w:pPr>
      <w:r>
        <w:t xml:space="preserve">3. das aktuelle Institutionskennzeichen der Krankenkasse nach § 293 des Fünften Buches Sozialgesetzbuch, eine vergleichbare Kennzeichnung des privaten Krankenversicherungsunternehmens oder eine vergleichbare Kennzeichnung des sonstigen Kostenträgers, die eine eindeutige Identifizierung ermöglicht.</w:t>
      </w:r>
    </w:p>
    <w:p>
      <w:r>
        <w:t xml:space="preserve">(3) Die verantwortlichen Gesundheitseinrichtungen, die gesetzlichen Krankenkassen, die privaten Krankenversicherungsunternehmen und die sonstigen Kostenträger übermitteln der Vertrauensstelle die Daten nach den Absätzen 1 und 2 mit Hilfe des unveränderbaren Teils der Krankenversichertennummer nach § 290 Absatz 1 Satz 2 des Fünften Buches Sozialgesetzbuch oder der Identifikationsnummer nach Absatz 4 Satz 3. Die Datenübermittlung bei einem Selbstzahler hat unter Verwendung des unveränderbaren Teils der Krankenversichertennummer oder der Identifikationsnummer nach Absatz 4 Satz 3 zu erfolgen.</w:t>
      </w:r>
    </w:p>
    <w:p>
      <w:r>
        <w:t xml:space="preserve">(4) Die privaten Krankenversicherungsunternehmen und die sonstigen Kostenträger stellen für ihre Versicherten den unveränderbaren Teil der Krankenversichertennummer nach § 290 Absatz 1 Satz 2 des Fünften Buches Sozialgesetzbuch barrierefrei bereit. § 290 Absatz 3 Satz 5 und § 362 Absatz 2 Satz 2 und 3 und Absatz 3 des Fünften Buches Sozialgesetzbuch gelten entsprechend. Abweichend von Satz 1 können die sonstigen Kostenträger für ihre Versicherten eine andere eindeutige, unveränderbare und nach einheitlichen Kriterien gebildete Identifikationsnummer barrierefrei bereitstellen.</w:t>
      </w:r>
    </w:p>
    <w:p>
      <w:r>
        <w:rPr>
          <w:color w:val="555555"/>
          <w:sz w:val="17"/>
        </w:rPr>
        <w:t xml:space="preserve">Zitiervorschlag: § 17 IRegG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