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IRegG — Pflichten der Produktverantwortlichen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Die Produktverantwortlichen sind verpflichtet, folgende Daten in die zentrale Produktdatenbank einzugeben:</w:t>
      </w:r>
    </w:p>
    <w:p>
      <w:pPr>
        <w:ind w:left="420"/>
      </w:pPr>
      <w:r>
        <w:t xml:space="preserve">1. die Implantat-Identifikationsnummer und die Produktdaten eines im Implantateregister registrierungspflichtigen Implantats, bei dem es sich nicht um ein spezialangefertigtes Implantat oder ein Implantat mit Sonderzulassung handelt,</w:t>
      </w:r>
    </w:p>
    <w:p>
      <w:pPr>
        <w:ind w:left="780"/>
      </w:pPr>
      <w:r>
        <w:t xml:space="preserve">a) vor dem erstmaligen Inverkehrbringen oder vor der Abgabe zum Zwecke der klinischen Prüfung nach Kapitel VI der Verordnung (EU) 2017/745 und Kapitel 4 des Medizinprodukte-Durchführungsgesetzes oder</w:t>
      </w:r>
    </w:p>
    <w:p>
      <w:pPr>
        <w:ind w:left="780"/>
      </w:pPr>
      <w:r>
        <w:t xml:space="preserve">b) unverzüglich nach dem Zeitpunkt, zu dem die Pflicht des Produktverantwortlichen für ein solches Implantat nach der Rechtsverordnung nach § 37 Nummer 1 zu erfüllen ist, sofern das betreffende Implantat bereits vor diesem Zeitpunkt in den Verkehr gebracht worden ist,</w:t>
      </w:r>
    </w:p>
    <w:p>
      <w:pPr>
        <w:ind w:left="420"/>
      </w:pPr>
      <w:r>
        <w:t xml:space="preserve">2. den Firmennamen und die Kontaktdaten und</w:t>
      </w:r>
    </w:p>
    <w:p>
      <w:pPr>
        <w:ind w:left="420"/>
      </w:pPr>
      <w:r>
        <w:t xml:space="preserve">3. unverzüglich jede Änderung der Daten nach den Nummern 1 und 2.</w:t>
      </w:r>
    </w:p>
    <w:p>
      <w:r>
        <w:rPr>
          <w:color w:val="555555"/>
          <w:sz w:val="17"/>
        </w:rPr>
        <w:t xml:space="preserve">Zitiervorschlag: § 15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