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IRegG — Aufgaben des Beirats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Beirat berät und unterstützt die Registerstelle insbesondere</w:t>
      </w:r>
    </w:p>
    <w:p>
      <w:pPr>
        <w:ind w:left="420"/>
      </w:pPr>
      <w:r>
        <w:t xml:space="preserve">1. bei der Weiterentwicklung der Datenstrukturen,</w:t>
      </w:r>
    </w:p>
    <w:p>
      <w:pPr>
        <w:ind w:left="420"/>
      </w:pPr>
      <w:r>
        <w:t xml:space="preserve">2. bei der Erarbeitung und der Weiterentwicklung von Verfahren zur Standardauswertung und zur Auswertungsmethodik und</w:t>
      </w:r>
    </w:p>
    <w:p>
      <w:pPr>
        <w:ind w:left="420"/>
      </w:pPr>
      <w:r>
        <w:t xml:space="preserve">3. bei der Erarbeitung von Vorschlägen für die Weiterentwicklung des Registers einschließlich der Aufnahme von weiteren Implantattypen in die Anlage.</w:t>
      </w:r>
    </w:p>
    <w:p>
      <w:r>
        <w:t xml:space="preserve">(2) Der Beirat berät und unterstützt die Geschäftsstelle insbesondere</w:t>
      </w:r>
    </w:p>
    <w:p>
      <w:pPr>
        <w:ind w:left="420"/>
      </w:pPr>
      <w:r>
        <w:t xml:space="preserve">1. bei der Besetzung der Auswertungsgruppen,</w:t>
      </w:r>
    </w:p>
    <w:p>
      <w:pPr>
        <w:ind w:left="420"/>
      </w:pPr>
      <w:r>
        <w:t xml:space="preserve">2. bei den Antragsverfahren zur Datenübermittlung für Forschungszwecke und statistische Zwecke und</w:t>
      </w:r>
    </w:p>
    <w:p>
      <w:pPr>
        <w:ind w:left="420"/>
      </w:pPr>
      <w:r>
        <w:t xml:space="preserve">3. bei der Erstellung des jährlichen Tätigkeitsberichts.</w:t>
      </w:r>
    </w:p>
    <w:p>
      <w:r>
        <w:t xml:space="preserve">(3) Der Beirat gibt sich eine Geschäftsordnung. Die Geschäftsordnung bedarf der Zustimmung des Bundesministeriums für Gesundheit.</w:t>
      </w:r>
    </w:p>
    <w:p>
      <w:r>
        <w:rPr>
          <w:color w:val="555555"/>
          <w:sz w:val="17"/>
        </w:rPr>
        <w:t xml:space="preserve">Zitiervorschlag: § 13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