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IRegG — Aufgaben der Auswertungsgruppen</w:t>
      </w:r>
    </w:p>
    <w:p>
      <w:r>
        <w:rPr>
          <w:color w:val="555555"/>
          <w:sz w:val="18"/>
        </w:rPr>
        <w:t xml:space="preserve">Implantateregistergesetz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Jede Auswertungsgruppe hat für die Gruppe von Implantattypen, für die sie eingerichtet wurde,</w:t>
      </w:r>
    </w:p>
    <w:p>
      <w:pPr>
        <w:ind w:left="420"/>
      </w:pPr>
      <w:r>
        <w:t xml:space="preserve">1. die Registerstelle bei der Erarbeitung des Verfahrens zur Standardauswertung und zur Auswertungsmethodik zu unterstützen,</w:t>
      </w:r>
    </w:p>
    <w:p>
      <w:pPr>
        <w:ind w:left="420"/>
      </w:pPr>
      <w:r>
        <w:t xml:space="preserve">2. die statistischen Auswertungen der Registerstelle nach § 4 Absatz 1 Nummer 4 unter medizinischen, technischen und wissenschaftlichen Gesichtspunkten zu interpretieren und zu bewerten und</w:t>
      </w:r>
    </w:p>
    <w:p>
      <w:pPr>
        <w:ind w:left="420"/>
      </w:pPr>
      <w:r>
        <w:t xml:space="preserve">3. das Ergebnis der Interpretation und Bewertung in einem Auswertungsbericht zusammenzufassen und diesen an die Geschäftsstelle zu übermitteln.</w:t>
      </w:r>
    </w:p>
    <w:p>
      <w:r>
        <w:rPr>
          <w:color w:val="555555"/>
          <w:sz w:val="17"/>
        </w:rPr>
        <w:t xml:space="preserve">Zitiervorschlag: § 11 IRegG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https://recht.nulegal.eu/gesetze/IRegG/11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