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IRegG — Auswertungsgruppen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Geschäftsstelle richtet für jeden im Implantateregister erfassten Implantattyp eine Auswertungsgruppe ein.</w:t>
      </w:r>
    </w:p>
    <w:p>
      <w:r>
        <w:t xml:space="preserve">(2) Die Mitglieder einer Auswertungsgruppe müssen über die erforderliche Sach- und Fachkunde für die Übernahme der Aufgaben dieser Auswertungsgruppe verfügen. In einer Auswertungsgruppe sollen insbesondere folgende Institutionen, Einrichtungen und Verbände vertreten sein:</w:t>
      </w:r>
    </w:p>
    <w:p>
      <w:pPr>
        <w:ind w:left="420"/>
      </w:pPr>
      <w:r>
        <w:t xml:space="preserve">1. das Bundesinstitut für Arzneimittel und Medizinprodukte,</w:t>
      </w:r>
    </w:p>
    <w:p>
      <w:pPr>
        <w:ind w:left="420"/>
      </w:pPr>
      <w:r>
        <w:t xml:space="preserve">2. das Institut für Qualitätssicherung und Transparenz im Gesundheitswesen,</w:t>
      </w:r>
    </w:p>
    <w:p>
      <w:pPr>
        <w:ind w:left="420"/>
      </w:pPr>
      <w:r>
        <w:t xml:space="preserve">3. die medizinischen Fachgesellschaften für den jeweiligen Implantattyp,</w:t>
      </w:r>
    </w:p>
    <w:p>
      <w:pPr>
        <w:ind w:left="420"/>
      </w:pPr>
      <w:r>
        <w:t xml:space="preserve">4. die Deutsche Gesellschaft für Medizinische Informatik, Biometrie und Epidemiologie e. V. und</w:t>
      </w:r>
    </w:p>
    <w:p>
      <w:pPr>
        <w:ind w:left="420"/>
      </w:pPr>
      <w:r>
        <w:t xml:space="preserve">5. ein Herstellerverband der Medizinprodukteindustrie.</w:t>
      </w:r>
    </w:p>
    <w:p>
      <w:r>
        <w:t xml:space="preserve">(3) Beratend können an den Sitzungen der jeweiligen Auswertungsgruppe teilnehmen:</w:t>
      </w:r>
    </w:p>
    <w:p>
      <w:pPr>
        <w:ind w:left="420"/>
      </w:pPr>
      <w:r>
        <w:t xml:space="preserve">1. der Produktverantwortliche, dessen Implantat Gegenstand der Interpretation und Beurteilung der statistischen Auswertung durch die Auswertungsgruppe ist, oder</w:t>
      </w:r>
    </w:p>
    <w:p>
      <w:pPr>
        <w:ind w:left="420"/>
      </w:pPr>
      <w:r>
        <w:t xml:space="preserve">2. die verantwortliche Gesundheitseinrichtung, deren medizinische Versorgung Gegenstand der Interpretation und Beurteilung der statistischen Auswertung durch die Auswertungsgruppe ist.</w:t>
      </w:r>
    </w:p>
    <w:p>
      <w:r>
        <w:rPr>
          <w:color w:val="555555"/>
          <w:sz w:val="17"/>
        </w:rPr>
        <w:t xml:space="preserve">Zitiervorschlag: § 10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