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IRegG — Bezeichnung und Zweck</w:t>
      </w:r>
    </w:p>
    <w:p>
      <w:r>
        <w:rPr>
          <w:color w:val="555555"/>
          <w:sz w:val="18"/>
        </w:rPr>
        <w:t xml:space="preserve">Implantateregistergesetz</w:t>
      </w:r>
    </w:p>
    <w:p>
      <w:r>
        <w:rPr>
          <w:color w:val="555555"/>
          <w:sz w:val="18"/>
        </w:rPr>
        <w:t xml:space="preserve">Stand: 23.07.2020 (konsolidierte Textfassung, kein amtliches Inkrafttretensdatum)</w:t>
      </w:r>
    </w:p>
    <w:p>
      <w:r>
        <w:t xml:space="preserve">(1) Zur Gewährleistung hoher Qualitäts- und Sicherheitsstandards bei der Gesundheitsversorgung mit Implantaten wird ein Implantateregister unter der Bezeichnung „Implantateregister Deutschland“ errichtet und geführt.</w:t>
      </w:r>
    </w:p>
    <w:p>
      <w:r>
        <w:t xml:space="preserve">(2) Das Implantateregister dient</w:t>
      </w:r>
    </w:p>
    <w:p>
      <w:pPr>
        <w:ind w:left="420"/>
      </w:pPr>
      <w:r>
        <w:t xml:space="preserve">1. dem Schutz der Gesundheit und Sicherheit von Patientinnen und Patienten, von Anwendern und von Dritten sowie der Abwehr von Risiken durch Implantate,</w:t>
      </w:r>
    </w:p>
    <w:p>
      <w:pPr>
        <w:ind w:left="420"/>
      </w:pPr>
      <w:r>
        <w:t xml:space="preserve">2. der Informationsgewinnung über die Qualität</w:t>
      </w:r>
    </w:p>
    <w:p>
      <w:pPr>
        <w:ind w:left="780"/>
      </w:pPr>
      <w:r>
        <w:t xml:space="preserve">a) der Implantate und</w:t>
      </w:r>
    </w:p>
    <w:p>
      <w:pPr>
        <w:ind w:left="780"/>
      </w:pPr>
      <w:r>
        <w:t xml:space="preserve">b) der medizinischen Versorgung mit Implantaten in den verantwortlichen Gesundheitseinrichtungen,</w:t>
      </w:r>
    </w:p>
    <w:p>
      <w:pPr>
        <w:ind w:left="420"/>
      </w:pPr>
      <w:r>
        <w:t xml:space="preserve">3. der Qualitätssicherung</w:t>
      </w:r>
    </w:p>
    <w:p>
      <w:pPr>
        <w:ind w:left="780"/>
      </w:pPr>
      <w:r>
        <w:t xml:space="preserve">a) der Implantate und</w:t>
      </w:r>
    </w:p>
    <w:p>
      <w:pPr>
        <w:ind w:left="780"/>
      </w:pPr>
      <w:r>
        <w:t xml:space="preserve">b) der medizinischen Versorgung mit Implantaten in den verantwortlichen Gesundheitseinrichtungen,</w:t>
      </w:r>
    </w:p>
    <w:p>
      <w:pPr>
        <w:ind w:left="420"/>
      </w:pPr>
      <w:r>
        <w:t xml:space="preserve">4. der Medizinproduktevigilanz und der Marktüberwachung,</w:t>
      </w:r>
    </w:p>
    <w:p>
      <w:pPr>
        <w:ind w:left="420"/>
      </w:pPr>
      <w:r>
        <w:t xml:space="preserve">5. statistischen Zwecken als Grundlage für</w:t>
      </w:r>
    </w:p>
    <w:p>
      <w:pPr>
        <w:ind w:left="780"/>
      </w:pPr>
      <w:r>
        <w:t xml:space="preserve">a) die Qualitätssicherung der Implantate und der medizinischen Versorgung mit Implantaten in den verantwortlichen Gesundheitseinrichtungen,</w:t>
      </w:r>
    </w:p>
    <w:p>
      <w:pPr>
        <w:ind w:left="780"/>
      </w:pPr>
      <w:r>
        <w:t xml:space="preserve">b) die Qualitätsberichterstattung im deutschen Gesundheitswesen und</w:t>
      </w:r>
    </w:p>
    <w:p>
      <w:pPr>
        <w:ind w:left="780"/>
      </w:pPr>
      <w:r>
        <w:t xml:space="preserve">c) die Marktbeobachtung und die Medizinproduktevigilanz,</w:t>
      </w:r>
    </w:p>
    <w:p>
      <w:pPr>
        <w:ind w:left="420"/>
      </w:pPr>
      <w:r>
        <w:t xml:space="preserve">6. wissenschaftlichen Zwecken.</w:t>
      </w:r>
    </w:p>
    <w:p>
      <w:r>
        <w:rPr>
          <w:color w:val="555555"/>
          <w:sz w:val="17"/>
        </w:rPr>
        <w:t xml:space="preserve">Zitiervorschlag: § 1 IRegG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