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IRegBV</w:t>
      </w:r>
    </w:p>
    <w:p>
      <w:r>
        <w:rPr>
          <w:color w:val="555555"/>
          <w:sz w:val="18"/>
        </w:rPr>
        <w:t xml:space="preserve">Implantateregister-Betriebsverordnung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Auf Grund des § 37 Nummer 1 und 2 Buchstabe a bis h, j und k des Implantateregistergesetzes vom 12. Dezember 2019 (BGBl. I S. 2494), der durch Artikel 12a Nummer 9 des Gesetzes vom 28. April 2020 (BGBl. I S. 960) geändert worden ist, verordnet das Bundesministerium für Gesundheit:</w:t>
      </w:r>
    </w:p>
    <w:p>
      <w:r>
        <w:rPr>
          <w:color w:val="555555"/>
          <w:sz w:val="17"/>
        </w:rPr>
        <w:t xml:space="preserve">Zitiervorschlag: Eingangsformel IRegBV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