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IRegBV — Sachverständige</w:t>
      </w:r>
    </w:p>
    <w:p>
      <w:r>
        <w:rPr>
          <w:color w:val="555555"/>
          <w:sz w:val="18"/>
        </w:rPr>
        <w:t xml:space="preserve">Implantateregister-Betriebsverordnung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Auswertungsgruppen können sich bei der Erfüllung ihrer Aufgaben durch Sachverständige beraten lassen. Die Beratung bedarf der Zustimmung durch die Geschäftsstelle. Die Heranziehung der Sachverständigen erfolgt durch die Geschäftsstelle.</w:t>
      </w:r>
    </w:p>
    <w:p>
      <w:r>
        <w:t xml:space="preserve">(2) Sachverständige sind vor Aufnahme ihrer Tätigkeit in den Auswertungsgruppen nach dem Verpflichtungsgesetz auf die gewissenhafte Erfüllung ihrer Obliegenheiten zu verpflichten.</w:t>
      </w:r>
    </w:p>
    <w:p>
      <w:r>
        <w:t xml:space="preserve">(3) Sachverständige erhalten eine Vergütung in entsprechender Anwendung des Abschnitts 3 des Justizvergütungs- und -entschädigungsgesetzes. Keine Vergütung erhalten Angehörige einer Behörde oder einer sonstigen öffentlichen Stelle, die weder Ehrenbeamte noch ehrenamtlich tätig sind, wenn sie ein Gutachten in Erfüllung ihrer Dienstaufgaben erstatten, vertreten oder erläutern.</w:t>
      </w:r>
    </w:p>
    <w:p>
      <w:r>
        <w:t xml:space="preserve">(4) Die Geschäftsstelle ist berechtigt, von den Sachverständigen eine Erklärung über bestehende und mögliche Interessenkonflikte zu verlangen.</w:t>
      </w:r>
    </w:p>
    <w:p>
      <w:r>
        <w:rPr>
          <w:color w:val="555555"/>
          <w:sz w:val="17"/>
        </w:rPr>
        <w:t xml:space="preserve">Zitiervorschlag: § 8 IRegBV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