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IRegBV — Besetzung der Auswertungsgruppen</w:t>
      </w:r>
    </w:p>
    <w:p>
      <w:r>
        <w:rPr>
          <w:color w:val="555555"/>
          <w:sz w:val="18"/>
        </w:rPr>
        <w:t xml:space="preserve">Implantateregister-Betriebsverordnung</w:t>
      </w:r>
    </w:p>
    <w:p>
      <w:r>
        <w:rPr>
          <w:color w:val="555555"/>
          <w:sz w:val="18"/>
        </w:rPr>
        <w:t xml:space="preserve">Stand: 01.10.2021 (konsolidierte Textfassung, kein amtliches Inkrafttretensdatum)</w:t>
      </w:r>
    </w:p>
    <w:p>
      <w:r>
        <w:t xml:space="preserve">(1) Das Bundesinstitut für Arzneimittel und Medizinprodukte entsendet mindestens eine bei ihm beschäftigte Person als Mitglied in jede Auswertungsgruppe. Es ist berechtigt, die als Mitglieder entsandten Personen jederzeit abzuberufen.</w:t>
      </w:r>
    </w:p>
    <w:p>
      <w:r>
        <w:t xml:space="preserve">(2) Die Geschäftsstelle beruft für die Dauer von bis zu vier Jahren Mitglieder nach Anhörung der Institutionen, Einrichtungen und Verbände, die durch das jeweilige Mitglied in der Auswertungsgruppe vertreten werden sollen. Für jedes Mitglied nach Satz 1 ist ein stellvertretendes Mitglied zu berufen. Wiederberufungen sind zulässig.</w:t>
      </w:r>
    </w:p>
    <w:p>
      <w:r>
        <w:t xml:space="preserve">(3) Ein Mitglied oder stellvertretendes Mitglied kann sein Amt durch Erklärung in Textform gegenüber der Geschäftsstelle niederlegen. Die Geschäftsstelle kann ein von ihr berufenes Mitglied oder stellvertretendes Mitglied abberufen, wenn</w:t>
      </w:r>
    </w:p>
    <w:p>
      <w:pPr>
        <w:ind w:left="420"/>
      </w:pPr>
      <w:r>
        <w:t xml:space="preserve">1. es nicht oder nicht mehr über die erforderliche Sach- und Fachkunde verfügt,</w:t>
      </w:r>
    </w:p>
    <w:p>
      <w:pPr>
        <w:ind w:left="420"/>
      </w:pPr>
      <w:r>
        <w:t xml:space="preserve">2. es die nach § 10 Absatz 2 Satz 2 des Implantateregistergesetzes zu berücksichtigende Institution oder Einrichtung oder den zu berücksichtigenden Verband nicht mehr repräsentiert,</w:t>
      </w:r>
    </w:p>
    <w:p>
      <w:pPr>
        <w:ind w:left="420"/>
      </w:pPr>
      <w:r>
        <w:t xml:space="preserve">3. ein dauerhafter Interessenkonflikt nach § 6 Absatz 3 Satz 2 besteht,</w:t>
      </w:r>
    </w:p>
    <w:p>
      <w:pPr>
        <w:ind w:left="420"/>
      </w:pPr>
      <w:r>
        <w:t xml:space="preserve">4. es seinen Aufgaben als Mitglied der Auswertungsgruppe wiederholt nicht nachkommt oder</w:t>
      </w:r>
    </w:p>
    <w:p>
      <w:pPr>
        <w:ind w:left="420"/>
      </w:pPr>
      <w:r>
        <w:t xml:space="preserve">5. ein in den Nummern 1 bis 4 nicht genannter wichtiger Grund vorliegt.</w:t>
      </w:r>
    </w:p>
    <w:p>
      <w:r>
        <w:t xml:space="preserve">Wird ein Mitglied oder ein stellvertretendes Mitglied abberufen oder scheidet es aus sonstigen Gründen vorzeitig aus, so ist unverzüglich eine Nachfolgerin oder ein Nachfolger zu berufen.</w:t>
      </w:r>
    </w:p>
    <w:p>
      <w:r>
        <w:rPr>
          <w:color w:val="555555"/>
          <w:sz w:val="17"/>
        </w:rPr>
        <w:t xml:space="preserve">Zitiervorschlag: § 3 IRegBV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