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IRegBV — Verfahren zur Erfüllung des Auskunftsrechts nach Artikel 15 und des Rechts auf Berichtigung nach Artikel 16 der Datenschutz-Grundverordnung</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Die nachstehenden Absätze regeln das Verfahren für das Verlangen der betroffenen Person</w:t>
      </w:r>
    </w:p>
    <w:p>
      <w:pPr>
        <w:ind w:left="420"/>
      </w:pPr>
      <w:r>
        <w:t xml:space="preserve">1. nach einer Bestätigung darüber, ob sie betreffende personenbezogene Daten im Implantateregister verarbeitet werden, und gegebenenfalls nach einer Auskunft über diese personenbezogenen Daten und nach weiteren Informationen gemäß Artikel 15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oder</w:t>
      </w:r>
    </w:p>
    <w:p>
      <w:pPr>
        <w:ind w:left="420"/>
      </w:pPr>
      <w:r>
        <w:t xml:space="preserve">2. nach Berichtigung sie betreffender unrichtiger personenbezogener Daten gemäß Artikel 16 der Verordnung (EU) 2016/679.</w:t>
      </w:r>
    </w:p>
    <w:p>
      <w:r>
        <w:t xml:space="preserve">(2) Das Verlangen nach Absatz 1 kann über jede Gesundheitseinrichtung, die implantatbezogene Maßnahmen in Bezug auf die nach Abschnitt 1 vom Wirkbetrieb umfassten Implantattypen durchführt, eingereicht werden.</w:t>
      </w:r>
    </w:p>
    <w:p>
      <w:r>
        <w:t xml:space="preserve">(3) Betrifft das Verlangen nach Absatz 1 Daten, die von der Registerstelle verarbeitet werden, unterrichtet die Gesundheitseinrichtung nach Absatz 2 die Vertrauensstelle unter Angabe des unveränderbaren Teils der Krankenversichertennummer im Sinne des § 290 Absatz 1 Satz 2 des Fünften Buches Sozialgesetzbuch oder der Identifikationsnummer nach § 17 Absatz 4 Satz 3 des Implantateregistergesetzes über das Verlangen. Die Vertrauensstelle erzeugt eine Transfernummer und übermittelt diese an die Gesundheitseinrichtung. Die Gesundheitseinrichtung übermittelt das Verlangen zusammen mit der Transfernummer an die Registerstelle; Angaben, die die das Verlangen einreichende Person identifizierbar machen, dürfen dabei nicht übermittelt werden. Die Registerstelle ruft das nach § 15 Absatz 3 Nummer 1 gebildete Pseudonym mit Hilfe der Transfernummer bei der Vertrauensstelle ab und führt es mit den nach Satz 3 übermittelten Daten zusammen. § 15 Absatz 5 gilt entsprechend. Die Registerstelle übermittelt der Gesundheitseinrichtung eine Bearbeitungsnummer und in einem verschlossenen, ausschließlich mit der Bearbeitungsnummer gekennzeichneten Umschlag zur Weitergabe an die betroffene Person</w:t>
      </w:r>
    </w:p>
    <w:p>
      <w:pPr>
        <w:ind w:left="420"/>
      </w:pPr>
      <w:r>
        <w:t xml:space="preserve">1. im Fall des Absatzes 1 Nummer 1 die zu der betroffenen Person verarbeiteten Daten und die weiteren Informationen gemäß Artikel 15 der Verordnung (EU) 2016/679 oder</w:t>
      </w:r>
    </w:p>
    <w:p>
      <w:pPr>
        <w:ind w:left="420"/>
      </w:pPr>
      <w:r>
        <w:t xml:space="preserve">2. im Fall des Absatzes 1 Nummer 2 ihre Entscheidung über die Berichtigung.</w:t>
      </w:r>
    </w:p>
    <w:p>
      <w:r>
        <w:t xml:space="preserve">(4) Betrifft das Verlangen nach Absatz 1 Daten, die von der Vertrauensstelle verarbeitet werden, übermittelt die Gesundheitseinrichtung nach Absatz 2 das Verlangen an die Vertrauensstelle. Die Vertrauensstelle übermittelt der Gesundheitseinrichtung eine Bearbeitungsnummer und in einem verschlossenen, ausschließlich mit der Bearbeitungsnummer gekennzeichneten Umschlag zur Weitergabe an die betroffene Person</w:t>
      </w:r>
    </w:p>
    <w:p>
      <w:pPr>
        <w:ind w:left="420"/>
      </w:pPr>
      <w:r>
        <w:t xml:space="preserve">1. im Fall des Absatzes 1 Nummer 1 die zu der betroffenen Person verarbeiteten Daten und die weiteren Informationen gemäß Artikel 15 der Verordnung (EU) 2016/679 oder</w:t>
      </w:r>
    </w:p>
    <w:p>
      <w:pPr>
        <w:ind w:left="420"/>
      </w:pPr>
      <w:r>
        <w:t xml:space="preserve">2. im Fall des Absatzes 1 Nummer 2 ihre Entscheidung über die Berichtigung.</w:t>
      </w:r>
    </w:p>
    <w:p>
      <w:r>
        <w:rPr>
          <w:color w:val="555555"/>
          <w:sz w:val="17"/>
        </w:rPr>
        <w:t xml:space="preserve">Zitiervorschlag: § 22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