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IRegBV — Verpflichtungen der Kostenträger</w:t>
      </w:r>
    </w:p>
    <w:p>
      <w:r>
        <w:rPr>
          <w:color w:val="555555"/>
          <w:sz w:val="18"/>
        </w:rPr>
        <w:t xml:space="preserve">Implantateregister-Betriebsverordnung</w:t>
      </w:r>
    </w:p>
    <w:p>
      <w:r>
        <w:rPr>
          <w:color w:val="555555"/>
          <w:sz w:val="18"/>
        </w:rPr>
        <w:t xml:space="preserve">Stand: 13.10.2022 (konsolidierte Textfassung, kein amtliches Inkrafttretensdatum)</w:t>
      </w:r>
    </w:p>
    <w:p>
      <w:r>
        <w:t xml:space="preserve">(1) Die privaten Krankenversicherungsunternehmen und die sonstigen Kostenträger haben ihre Pflichten nach § 17 Absatz 4 des Implantateregistergesetzes ab dem 1. Januar 2023 zu erfüllen.</w:t>
      </w:r>
    </w:p>
    <w:p>
      <w:r>
        <w:t xml:space="preserve">(2) Die gesetzlichen Krankenkassen, die privaten Krankenversicherungsunternehmen und die sonstigen Kostenträger haben ihre Pflichten nach § 17 Absatz 2 und 3 des Implantateregistergesetzes erstmals zum 1. Januar 2025 zu erfüllen.</w:t>
      </w:r>
    </w:p>
    <w:p>
      <w:r>
        <w:rPr>
          <w:color w:val="555555"/>
          <w:sz w:val="17"/>
        </w:rPr>
        <w:t xml:space="preserve">Zitiervorschlag: § 2 IRegBV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https://recht.nulegal.eu/gesetze/IRegBV/2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