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IRegBV — Datenübermittlung durch die Krankenkassen, privaten Krankenversicherungsunternehmen und sonstigen Kostenträger; Abruf durch die Registerstelle</w:t>
      </w:r>
    </w:p>
    <w:p>
      <w:r>
        <w:rPr>
          <w:color w:val="555555"/>
          <w:sz w:val="18"/>
        </w:rPr>
        <w:t xml:space="preserve">Implantateregister-Betriebsverordnung</w:t>
      </w:r>
    </w:p>
    <w:p>
      <w:r>
        <w:rPr>
          <w:color w:val="555555"/>
          <w:sz w:val="18"/>
        </w:rPr>
        <w:t xml:space="preserve">Stand: 01.10.2021 (konsolidierte Textfassung, kein amtliches Inkrafttretensdatum)</w:t>
      </w:r>
    </w:p>
    <w:p>
      <w:r>
        <w:t xml:space="preserve">(1) Die gesetzlichen Krankenkassen, privaten Krankenversicherungsunternehmen und sonstigen Kostenträger übermitteln der Vertrauensstelle den Vitalstatus halbjährlich und die anderen in § 17 Absatz 2 des Implantateregistergesetzes genannten Angaben anlassbezogen.</w:t>
      </w:r>
    </w:p>
    <w:p>
      <w:r>
        <w:t xml:space="preserve">(2) Die Registerstelle kann die in § 17 Absatz 2 Nummer 1 des Implantateregistergesetzes genannten Angaben über die Vertrauensstelle anfordern, wenn dies zur Prüfung der Richtigkeit und Vollständigkeit oder zur Durchführung von Auswertungen erforderlich ist. Dazu ruft die Vertrauensstelle die Daten unter Verwendung des unveränderbaren Teils der Krankenversichertennummer nach § 290 des Fünften Buches Sozialgesetzbuch oder der Identifikationsnummer nach § 17 Absatz 4 Satz 3 des Implantateregistergesetzes bei den gesetzlichen Krankenkassen, den privaten Krankenversicherungsunternehmen und den sonstigen Kostenträgern automatisiert ab. Die Vertrauensstelle kann die in § 17 Absatz 2 Nummer 2 und 3 des Implantateregistergesetzes genannten Daten nach Satz 2 abrufen, wenn dies zur Prüfung der Richtigkeit und Vollständigkeit der Daten erforderlich ist.</w:t>
      </w:r>
    </w:p>
    <w:p>
      <w:r>
        <w:rPr>
          <w:color w:val="555555"/>
          <w:sz w:val="17"/>
        </w:rPr>
        <w:t xml:space="preserve">Zitiervorschlag: § 18 IRegBV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https://recht.nulegal.eu/gesetze/IRegBV/18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