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IRegBV — Berichtigung</w:t>
      </w:r>
    </w:p>
    <w:p>
      <w:r>
        <w:rPr>
          <w:color w:val="555555"/>
          <w:sz w:val="18"/>
        </w:rPr>
        <w:t xml:space="preserve">Implantateregister-Betriebsverordnung</w:t>
      </w:r>
    </w:p>
    <w:p>
      <w:r>
        <w:rPr>
          <w:color w:val="555555"/>
          <w:sz w:val="18"/>
        </w:rPr>
        <w:t xml:space="preserve">Stand: 07.10.2022 (konsolidierte Textfassung, kein amtliches Inkrafttretensdatum)</w:t>
      </w:r>
    </w:p>
    <w:p>
      <w:r>
        <w:t xml:space="preserve">(1) Für die Vervollständigung oder Korrektur übermittelt die verantwortliche Gesundheitseinrichtung der Vertrauensstelle die Daten nach § 15 Absatz 1 und 2 Satz 1 Nummer 2 Buchstabe c. Die Vertrauensstelle erzeugt eine Transfernummer und übermittelt diese an die verantwortliche Gesundheitseinrichtung. Die verantwortliche Gesundheitseinrichtung übermittelt die vervollständigten oder berichtigten Angaben zusammen mit der Transfernummer an die Registerstelle. Die Registerstelle ruft das nach § 15 Absatz 3 Nummer 2 gebildete Pseudonym mit Hilfe der Transfernummer bei der Vertrauensstelle ab, führt es mit den nach Satz 3 übermittelten Daten zusammen und bestätigt der verantwortlichen Gesundheitseinrichtung den Erhalt der Vervollständigung oder Korrektur. § 15 Absatz 5 gilt entsprechend.</w:t>
      </w:r>
    </w:p>
    <w:p>
      <w:r>
        <w:t xml:space="preserve">(2) Für die Vervollständigung oder Korrektur gilt § 24 Absatz 1 Nummer 2 und Absatz 2 des Implantateregistergesetzes entsprechend.</w:t>
      </w:r>
    </w:p>
    <w:p>
      <w:r>
        <w:t xml:space="preserve">(3) Hat die Registerstelle Zweifel an der Richtigkeit eines gemeldeten Datensatzes, fordert sie die verantwortliche Gesundheitseinrichtung zur Überprüfung und Vervollständigung oder Korrektur nach Absatz 1 auf. Dazu übermittelt sie der Vertrauensstelle die Aufforderung zusammen mit dem nach § 15 Absatz 3 Nummer 2 gebildeten Pseudonym. Die Vertrauensstelle ersetzt das Pseudonym durch das interne Kennzeichen und übermittelt die Aufforderung zusammen mit diesem an die verantwortliche Gesundheitseinrichtung.</w:t>
      </w:r>
    </w:p>
    <w:p>
      <w:r>
        <w:rPr>
          <w:color w:val="555555"/>
          <w:sz w:val="17"/>
        </w:rPr>
        <w:t xml:space="preserve">Zitiervorschlag: § 17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