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IRegBV — Organisation</w:t>
      </w:r>
    </w:p>
    <w:p>
      <w:r>
        <w:rPr>
          <w:color w:val="555555"/>
          <w:sz w:val="18"/>
        </w:rPr>
        <w:t xml:space="preserve">Implantateregister-Betriebsverordnung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Der Beirat wählt für die Dauer der Berufungsperiode aus seiner Mitte eine Person für den Vorsitz und zwei Personen für die Stellvertretung.</w:t>
      </w:r>
    </w:p>
    <w:p>
      <w:r>
        <w:t xml:space="preserve">(2) Mitarbeiterinnen und Mitarbeiter der Registerstelle und der Geschäftsstelle sind berechtigt, beratend an den Sitzungen des Beirats teilzunehmen.</w:t>
      </w:r>
    </w:p>
    <w:p>
      <w:r>
        <w:t xml:space="preserve">(3) Die Sitzungen des Beirats sind nicht öffentlich.</w:t>
      </w:r>
    </w:p>
    <w:p>
      <w:r>
        <w:rPr>
          <w:color w:val="555555"/>
          <w:sz w:val="17"/>
        </w:rPr>
        <w:t xml:space="preserve">Zitiervorschlag: § 12 IRegBV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https://recht.nulegal.eu/gesetze/IRegBV/12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