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IRegBV — Besetzung des Beirats</w:t>
      </w:r>
    </w:p>
    <w:p>
      <w:r>
        <w:rPr>
          <w:color w:val="555555"/>
          <w:sz w:val="18"/>
        </w:rPr>
        <w:t xml:space="preserve">Implantateregister-Betriebsverordnung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Das Bundesministerium für Gesundheit beruft die Mitglieder und stellvertretenden Mitglieder des Beirats nach Anhörung der in § 12 Absatz 3 des Implantateregistergesetzes genannten Einrichtungen, Verbände, Gruppen und Institutionen.</w:t>
      </w:r>
    </w:p>
    <w:p>
      <w:r>
        <w:t xml:space="preserve">(2) Ein Mitglied oder stellvertretendes Mitglied kann sein Amt durch Erklärung in Textform gegenüber dem Bundesministerium für Gesundheit niederlegen. Das Bundesministerium für Gesundheit kann ein Mitglied oder stellvertretendes Mitglied abberufen, wenn</w:t>
      </w:r>
    </w:p>
    <w:p>
      <w:pPr>
        <w:ind w:left="420"/>
      </w:pPr>
      <w:r>
        <w:t xml:space="preserve">1. die Voraussetzungen der Berufung in der Person des Mitglieds nicht mehr gegeben sind,</w:t>
      </w:r>
    </w:p>
    <w:p>
      <w:pPr>
        <w:ind w:left="420"/>
      </w:pPr>
      <w:r>
        <w:t xml:space="preserve">2. ein dauerhafter Interessenkonflikt nach § 13 Absatz 3 Satz 2 besteht,</w:t>
      </w:r>
    </w:p>
    <w:p>
      <w:pPr>
        <w:ind w:left="420"/>
      </w:pPr>
      <w:r>
        <w:t xml:space="preserve">3. es seinen Aufgaben als Mitglied des Beirats wiederholt nicht nachkommt oder</w:t>
      </w:r>
    </w:p>
    <w:p>
      <w:pPr>
        <w:ind w:left="420"/>
      </w:pPr>
      <w:r>
        <w:t xml:space="preserve">4. ein in den Nummern 1 bis 3 nicht genannter wichtiger Grund vorliegt.</w:t>
      </w:r>
    </w:p>
    <w:p>
      <w:r>
        <w:rPr>
          <w:color w:val="555555"/>
          <w:sz w:val="17"/>
        </w:rPr>
        <w:t xml:space="preserve">Zitiervorschlag: § 10 IRegBV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