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IRegBV — Brustimplantate</w:t>
      </w:r>
    </w:p>
    <w:p>
      <w:r>
        <w:rPr>
          <w:color w:val="555555"/>
          <w:sz w:val="18"/>
        </w:rPr>
        <w:t xml:space="preserve">Implantateregister-Betriebsverordnung</w:t>
      </w:r>
    </w:p>
    <w:p>
      <w:r>
        <w:rPr>
          <w:color w:val="555555"/>
          <w:sz w:val="18"/>
        </w:rPr>
        <w:t xml:space="preserve">Stand: 25.10.2024 (konsolidierte Textfassung, kein amtliches Inkrafttretensdatum)</w:t>
      </w:r>
    </w:p>
    <w:p>
      <w:r>
        <w:t xml:space="preserve">(1) Für Brustimplantate haben die verantwortlichen Gesundheitseinrichtungen ihre Pflichten nach den §§ 16, 17 Absatz 1 und 3, §§ 24 und 25 des Implantateregistergesetzes bei implantatbezogenen Maßnahmen, bei denen die Aufnahme der Patientin oder des Patienten ab dem 1. Juli 2024 erfolgt, zu erfüllen. Bei implantatbezogenen Maßnahmen, bei denen die Aufnahme der Patientin oder des Patienten bis zum 30. Juni 2024 erfolgt ist, finden die §§ 16, 17 Absatz 1 und 3, §§ 24 und 25 des Implantateregistergesetzes sowie die §§ 15 bis 17 und 22 für freiwillig teilnehmende verantwortliche Gesundheitseinrichtungen Anwendung, soweit bei ihnen die technischen und organisatorischen Voraussetzungen für die Meldungen nach den §§ 16 und 17 Absatz 1 und 3 des Implantateregistergesetzes vorliegen.</w:t>
      </w:r>
    </w:p>
    <w:p>
      <w:r>
        <w:t xml:space="preserve">(2) Für Brustimplantate haben die Produktverantwortlichen ihre Pflichten nach § 15 des Implantateregistergesetzes ab dem 1. Juli 2023 zu erfüllen.</w:t>
      </w:r>
    </w:p>
    <w:p>
      <w:r>
        <w:t xml:space="preserve">(3) Nicht als Brustimplantate erfasst werden azelluläre dermale Matrices und chirurgische Netze.</w:t>
      </w:r>
    </w:p>
    <w:p>
      <w:r>
        <w:rPr>
          <w:color w:val="555555"/>
          <w:sz w:val="17"/>
        </w:rPr>
        <w:t xml:space="preserve">Zitiervorschlag: § 1 IRegBV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https://recht.nulegal.eu/gesetze/IRegBV/1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